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t>Mesobot telcon meeting notes 26 October 2016</w:t>
      </w:r>
    </w:p>
    <w:p>
      <w:pPr>
        <w:pStyle w:val="style0"/>
      </w:pPr>
      <w:r>
        <w:rPr/>
      </w:r>
    </w:p>
    <w:p>
      <w:pPr>
        <w:pStyle w:val="style0"/>
      </w:pPr>
      <w:r>
        <w:rPr/>
        <w:t>We discussed a spreadsheet template for summarizing the vehicle capabilities needed to perform different types of dives. We all agreed that we can't capture all the details of a complex science mission in such a brief format, but we can call out the most important vehicle characteristics required and identify aspects that will be particularly challenging. This exercise should help us consider the following:</w:t>
      </w:r>
    </w:p>
    <w:p>
      <w:pPr>
        <w:pStyle w:val="style0"/>
      </w:pPr>
      <w:r>
        <w:rPr/>
      </w:r>
    </w:p>
    <w:p>
      <w:pPr>
        <w:pStyle w:val="style0"/>
        <w:numPr>
          <w:ilvl w:val="0"/>
          <w:numId w:val="1"/>
        </w:numPr>
      </w:pPr>
      <w:r>
        <w:rPr/>
        <w:t>Balance attributes like speed, maneuverability, endurance, etc</w:t>
      </w:r>
    </w:p>
    <w:p>
      <w:pPr>
        <w:pStyle w:val="style0"/>
        <w:numPr>
          <w:ilvl w:val="0"/>
          <w:numId w:val="1"/>
        </w:numPr>
      </w:pPr>
      <w:r>
        <w:rPr/>
        <w:t xml:space="preserve">Consider avoidance/attraction problems </w:t>
      </w:r>
    </w:p>
    <w:p>
      <w:pPr>
        <w:pStyle w:val="style0"/>
        <w:numPr>
          <w:ilvl w:val="0"/>
          <w:numId w:val="1"/>
        </w:numPr>
      </w:pPr>
      <w:r>
        <w:rPr/>
        <w:t>Describe target sizes, this will be important for specifying our camera optics.</w:t>
      </w:r>
    </w:p>
    <w:p>
      <w:pPr>
        <w:pStyle w:val="style0"/>
        <w:numPr>
          <w:ilvl w:val="0"/>
          <w:numId w:val="1"/>
        </w:numPr>
      </w:pPr>
      <w:r>
        <w:rPr/>
        <w:t>Identify challenging tracking tasks, including imaging and lighting issues</w:t>
      </w:r>
    </w:p>
    <w:p>
      <w:pPr>
        <w:pStyle w:val="style0"/>
        <w:numPr>
          <w:ilvl w:val="0"/>
          <w:numId w:val="1"/>
        </w:numPr>
      </w:pPr>
      <w:r>
        <w:rPr/>
        <w:t xml:space="preserve">Estimate data logging needs for our publication and outreach efforts. No doubt this will be dominated by video and still imagery. Our ability to store standard video (HD or maybe 4K) and stills will be limited. I found this page helpful: </w:t>
      </w:r>
    </w:p>
    <w:p>
      <w:pPr>
        <w:pStyle w:val="style0"/>
      </w:pPr>
      <w:hyperlink r:id="rId2">
        <w:r>
          <w:rPr>
            <w:rStyle w:val="style17"/>
          </w:rPr>
          <w:t>http://studiopost.com/contact/tech-specs/calculating-disk-space-requirements</w:t>
        </w:r>
      </w:hyperlink>
    </w:p>
    <w:p>
      <w:pPr>
        <w:pStyle w:val="style0"/>
        <w:ind w:hanging="360" w:left="709" w:right="0"/>
      </w:pPr>
      <w:r>
        <w:rPr/>
        <w:t>most likely we will end up with a mix of video clips and stills stored at a prescribed rate. So a summary for a particular mission might be “1 minute compressed HD clips every 15 minutes and a full resolution still image every minute, low res thumbnails every second”. The benefits of compression are enormous (20x reduction in file size), but will compressed video be acceptable? I'm certain we will be able to log in the range of terabytes, but not petabytes. We need to consider how this will be handled by VARS.</w:t>
      </w:r>
    </w:p>
    <w:p>
      <w:pPr>
        <w:pStyle w:val="style0"/>
        <w:numPr>
          <w:ilvl w:val="0"/>
          <w:numId w:val="1"/>
        </w:numPr>
      </w:pPr>
      <w:r>
        <w:rPr/>
        <w:t>Consider what other sensors you would need to complement the imagery. We'll have standard items like CTD, optical backscatter, etc. I budgeted a Satlantic Rem-A</w:t>
      </w:r>
    </w:p>
    <w:p>
      <w:pPr>
        <w:pStyle w:val="style0"/>
      </w:pPr>
      <w:hyperlink r:id="rId3">
        <w:r>
          <w:rPr>
            <w:rStyle w:val="style16"/>
          </w:rPr>
          <w:t>http://satlantic.com/bolt-on-optical-sensors</w:t>
        </w:r>
      </w:hyperlink>
    </w:p>
    <w:p>
      <w:pPr>
        <w:pStyle w:val="style0"/>
      </w:pPr>
      <w:r>
        <w:rPr/>
        <w:t>Based on budget and payload, we may need to make hard choices about bio-optical measurements. No doubt they will be important. From an engineering perspective, it would be great to adopt one of the standard bio Argo packages as they are nicely packaged and would be relatively easy to integrate (all sensors are on a single data link).</w:t>
      </w:r>
    </w:p>
    <w:p>
      <w:pPr>
        <w:pStyle w:val="style0"/>
        <w:numPr>
          <w:ilvl w:val="0"/>
          <w:numId w:val="1"/>
        </w:numPr>
      </w:pPr>
      <w:r>
        <w:rPr/>
        <w:t>Sampling: in some cases geochemical/microbial sampling with SUPR will be the major objective of a dive so we should work up those mission descriptions, including description of the sampling parameters (flow rate, flow volume, filter type, triggering strategy, etc.). In other cases, we will take samples for eDNA analysis to complement the primary mission objectives. Comparisons between our visual records and the eDNA results will be interesting.</w:t>
      </w:r>
    </w:p>
    <w:p>
      <w:pPr>
        <w:pStyle w:val="style0"/>
        <w:numPr>
          <w:ilvl w:val="0"/>
          <w:numId w:val="1"/>
        </w:numPr>
      </w:pPr>
      <w:r>
        <w:rPr/>
        <w:t>Geochemical cleanliness: some of our sampling missions will require that the vehicle be iron-free. We should consider any other possible contamination issues.</w:t>
      </w:r>
    </w:p>
    <w:p>
      <w:pPr>
        <w:pStyle w:val="style0"/>
      </w:pPr>
      <w:r>
        <w:rPr/>
      </w:r>
    </w:p>
    <w:p>
      <w:pPr>
        <w:pStyle w:val="style0"/>
      </w:pPr>
      <w:r>
        <w:rPr/>
        <w:t>We had the following volunteers to work up more mission details:</w:t>
      </w:r>
    </w:p>
    <w:p>
      <w:pPr>
        <w:pStyle w:val="style0"/>
      </w:pPr>
      <w:r>
        <w:rPr/>
      </w:r>
    </w:p>
    <w:p>
      <w:pPr>
        <w:pStyle w:val="style0"/>
        <w:numPr>
          <w:ilvl w:val="0"/>
          <w:numId w:val="2"/>
        </w:numPr>
      </w:pPr>
      <w:r>
        <w:rPr/>
        <w:t>Bruce: make my larvacean example real</w:t>
      </w:r>
    </w:p>
    <w:p>
      <w:pPr>
        <w:pStyle w:val="style0"/>
        <w:numPr>
          <w:ilvl w:val="0"/>
          <w:numId w:val="2"/>
        </w:numPr>
      </w:pPr>
      <w:r>
        <w:rPr/>
        <w:t>Peter: summarize our ability to study how particulates and zooplankton interact as described here:</w:t>
      </w:r>
    </w:p>
    <w:p>
      <w:pPr>
        <w:pStyle w:val="style0"/>
      </w:pPr>
      <w:hyperlink r:id="rId4">
        <w:r>
          <w:rPr>
            <w:rStyle w:val="style16"/>
          </w:rPr>
          <w:t>http://orbit.dtu.dk/ws/files/119723293/Publishers_version.pdf</w:t>
        </w:r>
      </w:hyperlink>
    </w:p>
    <w:p>
      <w:pPr>
        <w:pStyle w:val="style0"/>
        <w:numPr>
          <w:ilvl w:val="0"/>
          <w:numId w:val="2"/>
        </w:numPr>
      </w:pPr>
      <w:r>
        <w:rPr/>
        <w:t>Chip: POC, trace metals, organic carbon in nepheloid layers.</w:t>
      </w:r>
    </w:p>
    <w:p>
      <w:pPr>
        <w:pStyle w:val="style0"/>
        <w:numPr>
          <w:ilvl w:val="0"/>
          <w:numId w:val="2"/>
        </w:numPr>
      </w:pPr>
      <w:r>
        <w:rPr/>
        <w:t>Joel with help from Peter: migrating and non-migrating fish, migrating invertebrates, tracking individuals vs tracking “the herd”, timing and pace of migration patterns</w:t>
      </w:r>
    </w:p>
    <w:p>
      <w:pPr>
        <w:pStyle w:val="style0"/>
        <w:numPr>
          <w:ilvl w:val="0"/>
          <w:numId w:val="2"/>
        </w:numPr>
      </w:pPr>
      <w:r>
        <w:rPr/>
        <w:t>Annette: sampling for eDNA as a primary or complementary mission objective. Consider filter samples vs whole water. Comparing eDNA to visual observations.</w:t>
      </w:r>
    </w:p>
    <w:p>
      <w:pPr>
        <w:pStyle w:val="style0"/>
      </w:pPr>
      <w:r>
        <w:rPr/>
      </w:r>
    </w:p>
    <w:sectPr>
      <w:type w:val="nextPage"/>
      <w:pgSz w:h="15840" w:w="12240"/>
      <w:pgMar w:bottom="1134" w:footer="0" w:gutter="0" w:header="0" w:left="1134" w:right="1134"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Symbol">
    <w:charset w:val="02"/>
    <w:family w:val="auto"/>
    <w:pitch w:val="default"/>
  </w:font>
  <w:font w:name="OpenSymbol">
    <w:altName w:val="Arial Unicode MS"/>
    <w:charset w:val="80"/>
    <w:family w:val="auto"/>
    <w:pitch w:val="default"/>
  </w:font>
</w:fonts>
</file>

<file path=word/numbering.xml><?xml version="1.0" encoding="utf-8"?>
<w:numbering xmlns:w="http://schemas.openxmlformats.org/wordprocessingml/2006/main">
  <w:abstractNum w:abstractNumId="1">
    <w:lvl w:ilvl="0">
      <w:start w:val="1"/>
      <w:numFmt w:val="bullet"/>
      <w:lvlText w:val=""/>
      <w:lvlJc w:val="left"/>
      <w:pPr>
        <w:tabs>
          <w:tab w:pos="720" w:val="num"/>
        </w:tabs>
        <w:ind w:hanging="360" w:left="720"/>
      </w:pPr>
      <w:rPr>
        <w:rFonts w:ascii="Symbol" w:cs="Symbol" w:hAnsi="Symbol" w:hint="default"/>
      </w:rPr>
    </w:lvl>
    <w:lvl w:ilvl="1">
      <w:start w:val="1"/>
      <w:numFmt w:val="bullet"/>
      <w:lvlText w:val="◦"/>
      <w:lvlJc w:val="left"/>
      <w:pPr>
        <w:tabs>
          <w:tab w:pos="1080" w:val="num"/>
        </w:tabs>
        <w:ind w:hanging="360" w:left="1080"/>
      </w:pPr>
      <w:rPr>
        <w:rFonts w:ascii="OpenSymbol" w:cs="OpenSymbol" w:hAnsi="OpenSymbol" w:hint="default"/>
      </w:rPr>
    </w:lvl>
    <w:lvl w:ilvl="2">
      <w:start w:val="1"/>
      <w:numFmt w:val="bullet"/>
      <w:lvlText w:val="▪"/>
      <w:lvlJc w:val="left"/>
      <w:pPr>
        <w:tabs>
          <w:tab w:pos="1440" w:val="num"/>
        </w:tabs>
        <w:ind w:hanging="360" w:left="1440"/>
      </w:pPr>
      <w:rPr>
        <w:rFonts w:ascii="OpenSymbol" w:cs="OpenSymbol" w:hAnsi="Open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OpenSymbol" w:cs="OpenSymbol" w:hAnsi="OpenSymbol" w:hint="default"/>
      </w:rPr>
    </w:lvl>
    <w:lvl w:ilvl="5">
      <w:start w:val="1"/>
      <w:numFmt w:val="bullet"/>
      <w:lvlText w:val="▪"/>
      <w:lvlJc w:val="left"/>
      <w:pPr>
        <w:tabs>
          <w:tab w:pos="2520" w:val="num"/>
        </w:tabs>
        <w:ind w:hanging="360" w:left="2520"/>
      </w:pPr>
      <w:rPr>
        <w:rFonts w:ascii="OpenSymbol" w:cs="OpenSymbol" w:hAnsi="Open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OpenSymbol" w:cs="OpenSymbol" w:hAnsi="OpenSymbol" w:hint="default"/>
      </w:rPr>
    </w:lvl>
    <w:lvl w:ilvl="8">
      <w:start w:val="1"/>
      <w:numFmt w:val="bullet"/>
      <w:lvlText w:val="▪"/>
      <w:lvlJc w:val="left"/>
      <w:pPr>
        <w:tabs>
          <w:tab w:pos="3600" w:val="num"/>
        </w:tabs>
        <w:ind w:hanging="360" w:left="3600"/>
      </w:pPr>
      <w:rPr>
        <w:rFonts w:ascii="OpenSymbol" w:cs="OpenSymbol" w:hAnsi="OpenSymbol" w:hint="default"/>
      </w:rPr>
    </w:lvl>
  </w:abstractNum>
  <w:abstractNum w:abstractNumId="2">
    <w:lvl w:ilvl="0">
      <w:start w:val="1"/>
      <w:numFmt w:val="bullet"/>
      <w:lvlText w:val=""/>
      <w:lvlJc w:val="left"/>
      <w:pPr>
        <w:tabs>
          <w:tab w:pos="720" w:val="num"/>
        </w:tabs>
        <w:ind w:hanging="360" w:left="720"/>
      </w:pPr>
      <w:rPr>
        <w:rFonts w:ascii="Symbol" w:cs="Symbol" w:hAnsi="Symbol" w:hint="default"/>
      </w:rPr>
    </w:lvl>
    <w:lvl w:ilvl="1">
      <w:start w:val="1"/>
      <w:numFmt w:val="bullet"/>
      <w:lvlText w:val="◦"/>
      <w:lvlJc w:val="left"/>
      <w:pPr>
        <w:tabs>
          <w:tab w:pos="1080" w:val="num"/>
        </w:tabs>
        <w:ind w:hanging="360" w:left="1080"/>
      </w:pPr>
      <w:rPr>
        <w:rFonts w:ascii="OpenSymbol" w:cs="OpenSymbol" w:hAnsi="OpenSymbol" w:hint="default"/>
      </w:rPr>
    </w:lvl>
    <w:lvl w:ilvl="2">
      <w:start w:val="1"/>
      <w:numFmt w:val="bullet"/>
      <w:lvlText w:val="▪"/>
      <w:lvlJc w:val="left"/>
      <w:pPr>
        <w:tabs>
          <w:tab w:pos="1440" w:val="num"/>
        </w:tabs>
        <w:ind w:hanging="360" w:left="1440"/>
      </w:pPr>
      <w:rPr>
        <w:rFonts w:ascii="OpenSymbol" w:cs="OpenSymbol" w:hAnsi="OpenSymbol" w:hint="default"/>
      </w:rPr>
    </w:lvl>
    <w:lvl w:ilvl="3">
      <w:start w:val="1"/>
      <w:numFmt w:val="bullet"/>
      <w:lvlText w:val=""/>
      <w:lvlJc w:val="left"/>
      <w:pPr>
        <w:tabs>
          <w:tab w:pos="1800" w:val="num"/>
        </w:tabs>
        <w:ind w:hanging="360" w:left="1800"/>
      </w:pPr>
      <w:rPr>
        <w:rFonts w:ascii="Symbol" w:cs="Symbol" w:hAnsi="Symbol" w:hint="default"/>
      </w:rPr>
    </w:lvl>
    <w:lvl w:ilvl="4">
      <w:start w:val="1"/>
      <w:numFmt w:val="bullet"/>
      <w:lvlText w:val="◦"/>
      <w:lvlJc w:val="left"/>
      <w:pPr>
        <w:tabs>
          <w:tab w:pos="2160" w:val="num"/>
        </w:tabs>
        <w:ind w:hanging="360" w:left="2160"/>
      </w:pPr>
      <w:rPr>
        <w:rFonts w:ascii="OpenSymbol" w:cs="OpenSymbol" w:hAnsi="OpenSymbol" w:hint="default"/>
      </w:rPr>
    </w:lvl>
    <w:lvl w:ilvl="5">
      <w:start w:val="1"/>
      <w:numFmt w:val="bullet"/>
      <w:lvlText w:val="▪"/>
      <w:lvlJc w:val="left"/>
      <w:pPr>
        <w:tabs>
          <w:tab w:pos="2520" w:val="num"/>
        </w:tabs>
        <w:ind w:hanging="360" w:left="2520"/>
      </w:pPr>
      <w:rPr>
        <w:rFonts w:ascii="OpenSymbol" w:cs="OpenSymbol" w:hAnsi="OpenSymbol" w:hint="default"/>
      </w:rPr>
    </w:lvl>
    <w:lvl w:ilvl="6">
      <w:start w:val="1"/>
      <w:numFmt w:val="bullet"/>
      <w:lvlText w:val=""/>
      <w:lvlJc w:val="left"/>
      <w:pPr>
        <w:tabs>
          <w:tab w:pos="2880" w:val="num"/>
        </w:tabs>
        <w:ind w:hanging="360" w:left="2880"/>
      </w:pPr>
      <w:rPr>
        <w:rFonts w:ascii="Symbol" w:cs="Symbol" w:hAnsi="Symbol" w:hint="default"/>
      </w:rPr>
    </w:lvl>
    <w:lvl w:ilvl="7">
      <w:start w:val="1"/>
      <w:numFmt w:val="bullet"/>
      <w:lvlText w:val="◦"/>
      <w:lvlJc w:val="left"/>
      <w:pPr>
        <w:tabs>
          <w:tab w:pos="3240" w:val="num"/>
        </w:tabs>
        <w:ind w:hanging="360" w:left="3240"/>
      </w:pPr>
      <w:rPr>
        <w:rFonts w:ascii="OpenSymbol" w:cs="OpenSymbol" w:hAnsi="OpenSymbol" w:hint="default"/>
      </w:rPr>
    </w:lvl>
    <w:lvl w:ilvl="8">
      <w:start w:val="1"/>
      <w:numFmt w:val="bullet"/>
      <w:lvlText w:val="▪"/>
      <w:lvlJc w:val="left"/>
      <w:pPr>
        <w:tabs>
          <w:tab w:pos="3600" w:val="num"/>
        </w:tabs>
        <w:ind w:hanging="360" w:left="3600"/>
      </w:pPr>
      <w:rPr>
        <w:rFonts w:ascii="OpenSymbol" w:cs="OpenSymbol" w:hAnsi="OpenSymbol"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tyles.xml><?xml version="1.0" encoding="utf-8"?>
<w:styles xmlns:w="http://schemas.openxmlformats.org/wordprocessingml/2006/main">
  <w:style w:styleId="style0" w:type="paragraph">
    <w:name w:val="Normal"/>
    <w:next w:val="style0"/>
    <w:pPr>
      <w:widowControl w:val="false"/>
      <w:tabs>
        <w:tab w:leader="none" w:pos="709" w:val="left"/>
      </w:tabs>
      <w:suppressAutoHyphens w:val="true"/>
    </w:pPr>
    <w:rPr>
      <w:rFonts w:ascii="Liberation Serif" w:cs="Lohit Hindi" w:eastAsia="WenQuanYi Micro Hei" w:hAnsi="Liberation Serif"/>
      <w:color w:val="auto"/>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Internet Link"/>
    <w:next w:val="style16"/>
    <w:rPr>
      <w:color w:val="000080"/>
      <w:u w:val="single"/>
      <w:lang w:bidi="en-US" w:eastAsia="en-US" w:val="en-US"/>
    </w:rPr>
  </w:style>
  <w:style w:styleId="style17" w:type="character">
    <w:name w:val="Visited Internet Link"/>
    <w:next w:val="style17"/>
    <w:rPr>
      <w:color w:val="800000"/>
      <w:u w:val="single"/>
      <w:lang w:bidi="en-US" w:eastAsia="en-US" w:val="en-US"/>
    </w:rPr>
  </w:style>
  <w:style w:styleId="style18" w:type="paragraph">
    <w:name w:val="Heading"/>
    <w:basedOn w:val="style0"/>
    <w:next w:val="style19"/>
    <w:pPr>
      <w:keepNext/>
      <w:spacing w:after="120" w:before="240"/>
    </w:pPr>
    <w:rPr>
      <w:rFonts w:ascii="Liberation Sans" w:cs="Lohit Hindi" w:eastAsia="WenQuanYi Micro Hei" w:hAnsi="Liberation Sans"/>
      <w:sz w:val="28"/>
      <w:szCs w:val="28"/>
    </w:rPr>
  </w:style>
  <w:style w:styleId="style19" w:type="paragraph">
    <w:name w:val="Text body"/>
    <w:basedOn w:val="style0"/>
    <w:next w:val="style19"/>
    <w:pPr>
      <w:spacing w:after="120" w:before="0"/>
    </w:pPr>
    <w:rPr/>
  </w:style>
  <w:style w:styleId="style20" w:type="paragraph">
    <w:name w:val="List"/>
    <w:basedOn w:val="style19"/>
    <w:next w:val="style20"/>
    <w:pPr/>
    <w:rPr>
      <w:rFonts w:cs="Lohit Hindi"/>
    </w:rPr>
  </w:style>
  <w:style w:styleId="style21" w:type="paragraph">
    <w:name w:val="Caption"/>
    <w:basedOn w:val="style0"/>
    <w:next w:val="style21"/>
    <w:pPr>
      <w:suppressLineNumbers/>
      <w:spacing w:after="120" w:before="120"/>
    </w:pPr>
    <w:rPr>
      <w:rFonts w:cs="Lohit Hindi"/>
      <w:i/>
      <w:iCs/>
      <w:sz w:val="24"/>
      <w:szCs w:val="24"/>
    </w:rPr>
  </w:style>
  <w:style w:styleId="style22" w:type="paragraph">
    <w:name w:val="Index"/>
    <w:basedOn w:val="style0"/>
    <w:next w:val="style22"/>
    <w:pPr>
      <w:suppressLineNumbers/>
    </w:pPr>
    <w:rPr>
      <w:rFonts w:cs="Lohit Hind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udiopost.com/contact/tech-specs/calculating-disk-space-requirements" TargetMode="External"/><Relationship Id="rId3" Type="http://schemas.openxmlformats.org/officeDocument/2006/relationships/hyperlink" Target="http://satlantic.com/bolt-on-optical-sensors" TargetMode="External"/><Relationship Id="rId4" Type="http://schemas.openxmlformats.org/officeDocument/2006/relationships/hyperlink" Target="http://orbit.dtu.dk/ws/files/119723293/Publishers_version.pdf" TargetMode="External"/><Relationship Id="rId5" Type="http://schemas.openxmlformats.org/officeDocument/2006/relationships/numbering" Target="numbering.xml"/><Relationship Id="rId6"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otalTime>0</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2016-11-01T10:52:19.00Z</dcterms:created>
  <dc:creator>Dana Yoerger</dc:creator>
  <cp:revision>0</cp:revision>
</cp:coreProperties>
</file>