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7E8C6" w14:textId="6677FE1D" w:rsidR="00FB3550" w:rsidRPr="001B2145" w:rsidRDefault="00794792" w:rsidP="00794792">
      <w:pPr>
        <w:pStyle w:val="Heading1"/>
        <w:rPr>
          <w:rFonts w:cstheme="majorHAnsi"/>
          <w:sz w:val="24"/>
          <w:szCs w:val="20"/>
        </w:rPr>
      </w:pPr>
      <w:r w:rsidRPr="001B2145">
        <w:rPr>
          <w:rFonts w:cstheme="majorHAnsi"/>
          <w:sz w:val="24"/>
          <w:szCs w:val="20"/>
        </w:rPr>
        <w:t>Aims</w:t>
      </w:r>
    </w:p>
    <w:p w14:paraId="3CFD385A" w14:textId="34E9EE56" w:rsidR="00794792" w:rsidRPr="001B2145" w:rsidRDefault="008C266D" w:rsidP="00794792">
      <w:pPr>
        <w:rPr>
          <w:rFonts w:asciiTheme="majorHAnsi" w:hAnsiTheme="majorHAnsi" w:cstheme="majorHAnsi"/>
          <w:sz w:val="20"/>
          <w:szCs w:val="20"/>
        </w:rPr>
      </w:pPr>
      <w:r>
        <w:rPr>
          <w:rFonts w:asciiTheme="majorHAnsi" w:hAnsiTheme="majorHAnsi" w:cstheme="majorHAnsi"/>
          <w:sz w:val="20"/>
          <w:szCs w:val="20"/>
        </w:rPr>
        <w:t xml:space="preserve">The purpose of this simulation environment is to mimic the physical and software behavior of the MBARI Wave-Energy Converter sufficiently to allow </w:t>
      </w:r>
      <w:r w:rsidR="002E6910">
        <w:rPr>
          <w:rFonts w:asciiTheme="majorHAnsi" w:hAnsiTheme="majorHAnsi" w:cstheme="majorHAnsi"/>
          <w:sz w:val="20"/>
          <w:szCs w:val="20"/>
        </w:rPr>
        <w:t xml:space="preserve">new ROS2 nodes to be executed in simulation and then run unchanged on the hardware.  This is intended to meet a range of needs from basic testing of data and command transfer in and out of nodes, through to testing algorithms against the expected physical behavior of the wave-energy converter, including mechanical and electrical losses that can have a significant effect on the performance of candidate control system approaches.  To meet this range of needs, it is expected that the simulator will be capable of running at more than one level of fidelity, allowing fast simulations to be run at the cost of accuracy to test basic items, followed by more realistic simulations that can take significant computer resources to execute.  </w:t>
      </w:r>
      <w:r w:rsidR="00207AC8">
        <w:rPr>
          <w:rFonts w:asciiTheme="majorHAnsi" w:hAnsiTheme="majorHAnsi" w:cstheme="majorHAnsi"/>
          <w:sz w:val="20"/>
          <w:szCs w:val="20"/>
        </w:rPr>
        <w:t>A highly accurate (and slow) simulation environment currently exists in Simulink.  This currently runs at about 1/30</w:t>
      </w:r>
      <w:r w:rsidR="00207AC8" w:rsidRPr="00207AC8">
        <w:rPr>
          <w:rFonts w:asciiTheme="majorHAnsi" w:hAnsiTheme="majorHAnsi" w:cstheme="majorHAnsi"/>
          <w:sz w:val="20"/>
          <w:szCs w:val="20"/>
          <w:vertAlign w:val="superscript"/>
        </w:rPr>
        <w:t>th</w:t>
      </w:r>
      <w:r w:rsidR="00207AC8">
        <w:rPr>
          <w:rFonts w:asciiTheme="majorHAnsi" w:hAnsiTheme="majorHAnsi" w:cstheme="majorHAnsi"/>
          <w:sz w:val="20"/>
          <w:szCs w:val="20"/>
        </w:rPr>
        <w:t xml:space="preserve"> real-time, and requires </w:t>
      </w:r>
      <w:r w:rsidR="001022AA">
        <w:rPr>
          <w:rFonts w:asciiTheme="majorHAnsi" w:hAnsiTheme="majorHAnsi" w:cstheme="majorHAnsi"/>
          <w:sz w:val="20"/>
          <w:szCs w:val="20"/>
        </w:rPr>
        <w:t xml:space="preserve">an expensive collection of </w:t>
      </w:r>
      <w:proofErr w:type="spellStart"/>
      <w:r w:rsidR="001022AA">
        <w:rPr>
          <w:rFonts w:asciiTheme="majorHAnsi" w:hAnsiTheme="majorHAnsi" w:cstheme="majorHAnsi"/>
          <w:sz w:val="20"/>
          <w:szCs w:val="20"/>
        </w:rPr>
        <w:t>Mathworks</w:t>
      </w:r>
      <w:proofErr w:type="spellEnd"/>
      <w:r w:rsidR="001022AA">
        <w:rPr>
          <w:rFonts w:asciiTheme="majorHAnsi" w:hAnsiTheme="majorHAnsi" w:cstheme="majorHAnsi"/>
          <w:sz w:val="20"/>
          <w:szCs w:val="20"/>
        </w:rPr>
        <w:t xml:space="preserve"> toolboxes so is not a </w:t>
      </w:r>
      <w:proofErr w:type="gramStart"/>
      <w:r w:rsidR="001022AA">
        <w:rPr>
          <w:rFonts w:asciiTheme="majorHAnsi" w:hAnsiTheme="majorHAnsi" w:cstheme="majorHAnsi"/>
          <w:sz w:val="20"/>
          <w:szCs w:val="20"/>
        </w:rPr>
        <w:t>general purpose</w:t>
      </w:r>
      <w:proofErr w:type="gramEnd"/>
      <w:r w:rsidR="001022AA">
        <w:rPr>
          <w:rFonts w:asciiTheme="majorHAnsi" w:hAnsiTheme="majorHAnsi" w:cstheme="majorHAnsi"/>
          <w:sz w:val="20"/>
          <w:szCs w:val="20"/>
        </w:rPr>
        <w:t xml:space="preserve"> solution, although could be useful in this project as a means of validation, or perhaps as a high fidelity simulator for groups with appropriate Simulink access.  The primary development is an open source simulation environment based on Ignition Gazebo.</w:t>
      </w:r>
    </w:p>
    <w:p w14:paraId="53A5F444" w14:textId="5A9DCE95" w:rsidR="00207AC8" w:rsidRPr="001B2145" w:rsidRDefault="00207AC8" w:rsidP="00207AC8">
      <w:pPr>
        <w:pStyle w:val="Heading1"/>
        <w:rPr>
          <w:rFonts w:cstheme="majorHAnsi"/>
          <w:sz w:val="24"/>
          <w:szCs w:val="20"/>
        </w:rPr>
      </w:pPr>
      <w:r>
        <w:rPr>
          <w:rFonts w:cstheme="majorHAnsi"/>
          <w:sz w:val="24"/>
          <w:szCs w:val="20"/>
        </w:rPr>
        <w:t>Technical Notes</w:t>
      </w:r>
    </w:p>
    <w:p w14:paraId="62719508" w14:textId="0ED5CAEA" w:rsidR="001022AA" w:rsidRDefault="001022AA" w:rsidP="00794792">
      <w:pPr>
        <w:rPr>
          <w:rFonts w:asciiTheme="majorHAnsi" w:hAnsiTheme="majorHAnsi" w:cstheme="majorHAnsi"/>
          <w:sz w:val="20"/>
          <w:szCs w:val="20"/>
        </w:rPr>
      </w:pPr>
      <w:r>
        <w:rPr>
          <w:rFonts w:asciiTheme="majorHAnsi" w:hAnsiTheme="majorHAnsi" w:cstheme="majorHAnsi"/>
          <w:sz w:val="20"/>
          <w:szCs w:val="20"/>
        </w:rPr>
        <w:t>Ignition Gazebo provides a good framework for this effort, and contains several useful plugin components already.  There are a few additional capabilities needed however, and the architecture section below describes the plugins that will need to be created. In addition, there are a few technical challenges that will need to be evaluated and overcome, notably:</w:t>
      </w:r>
    </w:p>
    <w:p w14:paraId="1366DBD9" w14:textId="1087607E" w:rsidR="001022AA" w:rsidRDefault="001022AA" w:rsidP="001022AA">
      <w:pPr>
        <w:pStyle w:val="ListParagraph"/>
        <w:numPr>
          <w:ilvl w:val="0"/>
          <w:numId w:val="3"/>
        </w:numPr>
        <w:rPr>
          <w:rFonts w:asciiTheme="majorHAnsi" w:hAnsiTheme="majorHAnsi" w:cstheme="majorHAnsi"/>
          <w:sz w:val="20"/>
          <w:szCs w:val="20"/>
        </w:rPr>
      </w:pPr>
      <w:r>
        <w:rPr>
          <w:rFonts w:asciiTheme="majorHAnsi" w:hAnsiTheme="majorHAnsi" w:cstheme="majorHAnsi"/>
          <w:sz w:val="20"/>
          <w:szCs w:val="20"/>
        </w:rPr>
        <w:t xml:space="preserve">The external physics engines that Ignition Gazebo relies on do not have a ready facility to incorporate the added-mass terms that are present in both submerged and floating-body hydrodynamics.  These inertia terms (proportional to acceleration) arise for the water that is accelerated as a submerged or floating body accelerates. Due to shape differences, these inertial contributions are different in different directions of motion, and the DART only accepts a scalar value for Mass, which populates the diagonal elements of the Inertial tensor.  A possibly acceptable solution to this issue is the move these inertial contributions to the right-hand side of the ODE solution, but necessarily they are then depending on the acceleration at the last time-step. </w:t>
      </w:r>
      <w:r w:rsidR="00522BAC">
        <w:rPr>
          <w:rFonts w:asciiTheme="majorHAnsi" w:hAnsiTheme="majorHAnsi" w:cstheme="majorHAnsi"/>
          <w:sz w:val="20"/>
          <w:szCs w:val="20"/>
        </w:rPr>
        <w:t xml:space="preserve">This delay will cause some accuracy and stability issues, which may or may not be significant.  A better solution would be if DART incorporated the added-mass tensor directly, this in principle shouldn’t be a significant change, </w:t>
      </w:r>
      <w:r w:rsidR="001F6541">
        <w:rPr>
          <w:rFonts w:asciiTheme="majorHAnsi" w:hAnsiTheme="majorHAnsi" w:cstheme="majorHAnsi"/>
          <w:sz w:val="20"/>
          <w:szCs w:val="20"/>
        </w:rPr>
        <w:t>but would require a new interface somewhere to set those values.</w:t>
      </w:r>
    </w:p>
    <w:p w14:paraId="348D72B4" w14:textId="703B277C" w:rsidR="001F6541" w:rsidRDefault="001F6541" w:rsidP="001022AA">
      <w:pPr>
        <w:pStyle w:val="ListParagraph"/>
        <w:numPr>
          <w:ilvl w:val="0"/>
          <w:numId w:val="3"/>
        </w:numPr>
        <w:rPr>
          <w:rFonts w:asciiTheme="majorHAnsi" w:hAnsiTheme="majorHAnsi" w:cstheme="majorHAnsi"/>
          <w:sz w:val="20"/>
          <w:szCs w:val="20"/>
        </w:rPr>
      </w:pPr>
      <w:r>
        <w:rPr>
          <w:rFonts w:asciiTheme="majorHAnsi" w:hAnsiTheme="majorHAnsi" w:cstheme="majorHAnsi"/>
          <w:sz w:val="20"/>
          <w:szCs w:val="20"/>
        </w:rPr>
        <w:t>Some of the envisioned plug-ins may require additional states to be solved for along with the rigid body dynamics.  If there is no facility to add additional states to the solution vector, so this would need to be accomplished by introducing dummy links that velocity would represent these additional states.  Examples include the hydraulic pressure in the PTO, one way to solve the problem is to advance that value in time and this is necessary if the compressibility of the oil is to be included in the model (more on this below).  Other examples may appear in the solution of the free-surface wave-body interaction problem, described in more detail in the documentation for that proposed plug-in.</w:t>
      </w:r>
    </w:p>
    <w:p w14:paraId="18EEA0F4" w14:textId="0C245A9B" w:rsidR="001F6541" w:rsidRDefault="001F6541" w:rsidP="001022AA">
      <w:pPr>
        <w:pStyle w:val="ListParagraph"/>
        <w:numPr>
          <w:ilvl w:val="0"/>
          <w:numId w:val="3"/>
        </w:numPr>
        <w:rPr>
          <w:rFonts w:asciiTheme="majorHAnsi" w:hAnsiTheme="majorHAnsi" w:cstheme="majorHAnsi"/>
          <w:sz w:val="20"/>
          <w:szCs w:val="20"/>
        </w:rPr>
      </w:pPr>
      <w:r>
        <w:rPr>
          <w:rFonts w:asciiTheme="majorHAnsi" w:hAnsiTheme="majorHAnsi" w:cstheme="majorHAnsi"/>
          <w:sz w:val="20"/>
          <w:szCs w:val="20"/>
        </w:rPr>
        <w:t xml:space="preserve">The Ignition Gazebo interface to DART appears to only allow evaluating the forces applied to joints and bodies once per time-step.  Ordinarily in a higher-order ODE solution, these forces would be evaluated several times per timestep so this raises the question of if the DART solver is limited to </w:t>
      </w:r>
      <w:proofErr w:type="gramStart"/>
      <w:r>
        <w:rPr>
          <w:rFonts w:asciiTheme="majorHAnsi" w:hAnsiTheme="majorHAnsi" w:cstheme="majorHAnsi"/>
          <w:sz w:val="20"/>
          <w:szCs w:val="20"/>
        </w:rPr>
        <w:t>an</w:t>
      </w:r>
      <w:proofErr w:type="gramEnd"/>
      <w:r>
        <w:rPr>
          <w:rFonts w:asciiTheme="majorHAnsi" w:hAnsiTheme="majorHAnsi" w:cstheme="majorHAnsi"/>
          <w:sz w:val="20"/>
          <w:szCs w:val="20"/>
        </w:rPr>
        <w:t xml:space="preserve"> Euler type solution, or if something else is going on.  If higher-order methods aren’t available, this will have a significant effect on run times and accuracy.</w:t>
      </w:r>
    </w:p>
    <w:p w14:paraId="69B4A4F4" w14:textId="31D10246" w:rsidR="001F6541" w:rsidRDefault="001F6541" w:rsidP="001022AA">
      <w:pPr>
        <w:pStyle w:val="ListParagraph"/>
        <w:numPr>
          <w:ilvl w:val="0"/>
          <w:numId w:val="3"/>
        </w:numPr>
        <w:rPr>
          <w:rFonts w:asciiTheme="majorHAnsi" w:hAnsiTheme="majorHAnsi" w:cstheme="majorHAnsi"/>
          <w:sz w:val="20"/>
          <w:szCs w:val="20"/>
        </w:rPr>
      </w:pPr>
      <w:r>
        <w:rPr>
          <w:rFonts w:asciiTheme="majorHAnsi" w:hAnsiTheme="majorHAnsi" w:cstheme="majorHAnsi"/>
          <w:sz w:val="20"/>
          <w:szCs w:val="20"/>
        </w:rPr>
        <w:t>The wave-energy converter includes a flexible tether that occasionally goes slack.  In the simplest case this tether could be assumed to be a single thin rigid rod and some results could be obtained.  However, in practice this segment goes slack and that needs to be modelled.  One possibility is to split this element into several rigid components with damped hinges between each. This may be suitable, and in the limit of many segments would accurately reflect the behavior of the tether.  A more sophisticated way to tackle this is to solve the cable-</w:t>
      </w:r>
      <w:r>
        <w:rPr>
          <w:rFonts w:asciiTheme="majorHAnsi" w:hAnsiTheme="majorHAnsi" w:cstheme="majorHAnsi"/>
          <w:sz w:val="20"/>
          <w:szCs w:val="20"/>
        </w:rPr>
        <w:lastRenderedPageBreak/>
        <w:t xml:space="preserve">dynamics equations of motion in a finite-difference way, and this is another example of a case that would require augmentation of the ODE solver state vector. </w:t>
      </w:r>
    </w:p>
    <w:p w14:paraId="42FDBAC2" w14:textId="192B4AAB" w:rsidR="001F6541" w:rsidRPr="001022AA" w:rsidRDefault="00DF2D88" w:rsidP="001022AA">
      <w:pPr>
        <w:pStyle w:val="ListParagraph"/>
        <w:numPr>
          <w:ilvl w:val="0"/>
          <w:numId w:val="3"/>
        </w:numPr>
        <w:rPr>
          <w:rFonts w:asciiTheme="majorHAnsi" w:hAnsiTheme="majorHAnsi" w:cstheme="majorHAnsi"/>
          <w:sz w:val="20"/>
          <w:szCs w:val="20"/>
        </w:rPr>
      </w:pPr>
      <w:r>
        <w:rPr>
          <w:rFonts w:asciiTheme="majorHAnsi" w:hAnsiTheme="majorHAnsi" w:cstheme="majorHAnsi"/>
          <w:sz w:val="20"/>
          <w:szCs w:val="20"/>
        </w:rPr>
        <w:t>An obvious simplification in the WEC is to neglect both the compressibility of the hydraulic oil.  This simplification is almost certainly reasonable and removes a significant stiffness from the system which could dramatically affect the required time-step size.  This is the approach followed in the architecture outlined below, but also means the entirety of the electro-hydraulic PTO becomes a single plugin, as opposed to the more obvious choice of considering the motor rotor a rigid body with torques due to the hydraulics applied on one side, and the torque due to the electric motor on the other.  Details in that plug-in description.</w:t>
      </w:r>
    </w:p>
    <w:p w14:paraId="0D7EBAAD" w14:textId="49D2938B" w:rsidR="00794792" w:rsidRPr="001B2145" w:rsidRDefault="00794792" w:rsidP="00794792">
      <w:pPr>
        <w:pStyle w:val="Heading1"/>
        <w:rPr>
          <w:rFonts w:cstheme="majorHAnsi"/>
          <w:sz w:val="24"/>
          <w:szCs w:val="20"/>
        </w:rPr>
      </w:pPr>
      <w:r w:rsidRPr="001B2145">
        <w:rPr>
          <w:rFonts w:cstheme="majorHAnsi"/>
          <w:sz w:val="24"/>
          <w:szCs w:val="20"/>
        </w:rPr>
        <w:t>Architecture with</w:t>
      </w:r>
      <w:r w:rsidR="001B2145" w:rsidRPr="001B2145">
        <w:rPr>
          <w:rFonts w:cstheme="majorHAnsi"/>
          <w:sz w:val="24"/>
          <w:szCs w:val="20"/>
        </w:rPr>
        <w:t>in context of</w:t>
      </w:r>
      <w:r w:rsidRPr="001B2145">
        <w:rPr>
          <w:rFonts w:cstheme="majorHAnsi"/>
          <w:sz w:val="24"/>
          <w:szCs w:val="20"/>
        </w:rPr>
        <w:t xml:space="preserve"> Ignition Gazebo</w:t>
      </w:r>
    </w:p>
    <w:p w14:paraId="625F0FC7" w14:textId="1EA61372" w:rsidR="00794792" w:rsidRDefault="001B2145" w:rsidP="00794792">
      <w:pPr>
        <w:rPr>
          <w:rFonts w:asciiTheme="majorHAnsi" w:hAnsiTheme="majorHAnsi" w:cstheme="majorHAnsi"/>
          <w:sz w:val="20"/>
          <w:szCs w:val="20"/>
        </w:rPr>
      </w:pPr>
      <w:r w:rsidRPr="001B2145">
        <w:rPr>
          <w:rFonts w:asciiTheme="majorHAnsi" w:hAnsiTheme="majorHAnsi" w:cstheme="majorHAnsi"/>
          <w:sz w:val="20"/>
          <w:szCs w:val="20"/>
        </w:rPr>
        <w:t>A simulator implemented with Ignition Gazebo use</w:t>
      </w:r>
      <w:r w:rsidR="00006710">
        <w:rPr>
          <w:rFonts w:asciiTheme="majorHAnsi" w:hAnsiTheme="majorHAnsi" w:cstheme="majorHAnsi"/>
          <w:sz w:val="20"/>
          <w:szCs w:val="20"/>
        </w:rPr>
        <w:t>s</w:t>
      </w:r>
      <w:r w:rsidRPr="001B2145">
        <w:rPr>
          <w:rFonts w:asciiTheme="majorHAnsi" w:hAnsiTheme="majorHAnsi" w:cstheme="majorHAnsi"/>
          <w:sz w:val="20"/>
          <w:szCs w:val="20"/>
        </w:rPr>
        <w:t xml:space="preserve"> the available physics engines to model the rigid-body dynamics, and utilize</w:t>
      </w:r>
      <w:r w:rsidR="00006710">
        <w:rPr>
          <w:rFonts w:asciiTheme="majorHAnsi" w:hAnsiTheme="majorHAnsi" w:cstheme="majorHAnsi"/>
          <w:sz w:val="20"/>
          <w:szCs w:val="20"/>
        </w:rPr>
        <w:t>s</w:t>
      </w:r>
      <w:r w:rsidRPr="001B2145">
        <w:rPr>
          <w:rFonts w:asciiTheme="majorHAnsi" w:hAnsiTheme="majorHAnsi" w:cstheme="majorHAnsi"/>
          <w:sz w:val="20"/>
          <w:szCs w:val="20"/>
        </w:rPr>
        <w:t xml:space="preserve"> existing and new plugins to implement the specific forces needed to complete the model. </w:t>
      </w:r>
      <w:r w:rsidR="005C0198">
        <w:rPr>
          <w:rFonts w:asciiTheme="majorHAnsi" w:hAnsiTheme="majorHAnsi" w:cstheme="majorHAnsi"/>
          <w:sz w:val="20"/>
          <w:szCs w:val="20"/>
        </w:rPr>
        <w:t xml:space="preserve"> The model would be made up of about </w:t>
      </w:r>
      <w:r w:rsidR="00CE6566">
        <w:rPr>
          <w:rFonts w:asciiTheme="majorHAnsi" w:hAnsiTheme="majorHAnsi" w:cstheme="majorHAnsi"/>
          <w:sz w:val="20"/>
          <w:szCs w:val="20"/>
        </w:rPr>
        <w:t>four</w:t>
      </w:r>
      <w:r w:rsidR="005C0198">
        <w:rPr>
          <w:rFonts w:asciiTheme="majorHAnsi" w:hAnsiTheme="majorHAnsi" w:cstheme="majorHAnsi"/>
          <w:sz w:val="20"/>
          <w:szCs w:val="20"/>
        </w:rPr>
        <w:t xml:space="preserve"> rigid bodies (plus the world frame), connected together with </w:t>
      </w:r>
      <w:r w:rsidR="009554F0">
        <w:rPr>
          <w:rFonts w:asciiTheme="majorHAnsi" w:hAnsiTheme="majorHAnsi" w:cstheme="majorHAnsi"/>
          <w:sz w:val="20"/>
          <w:szCs w:val="20"/>
        </w:rPr>
        <w:t>three</w:t>
      </w:r>
      <w:r w:rsidR="005C0198">
        <w:rPr>
          <w:rFonts w:asciiTheme="majorHAnsi" w:hAnsiTheme="majorHAnsi" w:cstheme="majorHAnsi"/>
          <w:sz w:val="20"/>
          <w:szCs w:val="20"/>
        </w:rPr>
        <w:t xml:space="preserve"> joints.  A brief description of the rigid bodies and plugins are below, with more specific requirements for each in separate documents.</w:t>
      </w:r>
      <w:r w:rsidR="00E73948">
        <w:rPr>
          <w:rFonts w:asciiTheme="majorHAnsi" w:hAnsiTheme="majorHAnsi" w:cstheme="majorHAnsi"/>
          <w:sz w:val="20"/>
          <w:szCs w:val="20"/>
        </w:rPr>
        <w:t xml:space="preserve">  Gravity forces and forces transmitted across joints are not listed as they are part of the physics engine formulation and do not need to be explicitly provided.</w:t>
      </w:r>
      <w:r w:rsidR="006854A6">
        <w:rPr>
          <w:rFonts w:asciiTheme="majorHAnsi" w:hAnsiTheme="majorHAnsi" w:cstheme="majorHAnsi"/>
          <w:sz w:val="20"/>
          <w:szCs w:val="20"/>
        </w:rPr>
        <w:t xml:space="preserve">  Refer to Figure 1</w:t>
      </w:r>
      <w:r w:rsidR="009E4FEC">
        <w:rPr>
          <w:rFonts w:asciiTheme="majorHAnsi" w:hAnsiTheme="majorHAnsi" w:cstheme="majorHAnsi"/>
          <w:sz w:val="20"/>
          <w:szCs w:val="20"/>
        </w:rPr>
        <w:t xml:space="preserve"> and 2.</w:t>
      </w:r>
    </w:p>
    <w:p w14:paraId="6444CEE9" w14:textId="64C110FA" w:rsidR="009554F0" w:rsidRPr="001B2145" w:rsidRDefault="009554F0" w:rsidP="00794792">
      <w:pPr>
        <w:rPr>
          <w:rFonts w:asciiTheme="majorHAnsi" w:hAnsiTheme="majorHAnsi" w:cstheme="majorHAnsi"/>
          <w:sz w:val="20"/>
          <w:szCs w:val="20"/>
        </w:rPr>
      </w:pPr>
      <w:r>
        <w:rPr>
          <w:rFonts w:asciiTheme="majorHAnsi" w:hAnsiTheme="majorHAnsi" w:cstheme="majorHAnsi"/>
          <w:sz w:val="20"/>
          <w:szCs w:val="20"/>
        </w:rPr>
        <w:t xml:space="preserve">Independent of emulating the device physics, the simulator needs to also mimic some software behaviors of the existing controllers in the system.  Examples are time-delays and timeouts applied to commands sent to the controllers, variable reporting rates, etc.  To accommodate this, the proposed architecture is to have </w:t>
      </w:r>
      <w:r w:rsidR="007D7537">
        <w:rPr>
          <w:rFonts w:asciiTheme="majorHAnsi" w:hAnsiTheme="majorHAnsi" w:cstheme="majorHAnsi"/>
          <w:sz w:val="20"/>
          <w:szCs w:val="20"/>
        </w:rPr>
        <w:t xml:space="preserve">separate pieces of code for each of the controllers in the system.  The intent is to capture all of the controller specific behaviors in these code components, and have them communicate necessary (physics based) info to the ignition gazebo plugins via </w:t>
      </w:r>
      <w:proofErr w:type="spellStart"/>
      <w:r w:rsidR="007D7537">
        <w:rPr>
          <w:rFonts w:asciiTheme="majorHAnsi" w:hAnsiTheme="majorHAnsi" w:cstheme="majorHAnsi"/>
          <w:sz w:val="20"/>
          <w:szCs w:val="20"/>
        </w:rPr>
        <w:t>ign</w:t>
      </w:r>
      <w:proofErr w:type="spellEnd"/>
      <w:r w:rsidR="007D7537">
        <w:rPr>
          <w:rFonts w:asciiTheme="majorHAnsi" w:hAnsiTheme="majorHAnsi" w:cstheme="majorHAnsi"/>
          <w:sz w:val="20"/>
          <w:szCs w:val="20"/>
        </w:rPr>
        <w:t xml:space="preserve"> transport or similar mechanism.</w:t>
      </w:r>
      <w:r w:rsidR="00F57D89">
        <w:rPr>
          <w:rFonts w:asciiTheme="majorHAnsi" w:hAnsiTheme="majorHAnsi" w:cstheme="majorHAnsi"/>
          <w:sz w:val="20"/>
          <w:szCs w:val="20"/>
        </w:rPr>
        <w:t xml:space="preserve">  These features could be included in the force generating plugins, but the proposed plan is to make these code-blocks separate to promote the possibility the underlying simulation could change without disturbing the interface.</w:t>
      </w:r>
      <w:r w:rsidR="007D7537">
        <w:rPr>
          <w:rFonts w:asciiTheme="majorHAnsi" w:hAnsiTheme="majorHAnsi" w:cstheme="majorHAnsi"/>
          <w:sz w:val="20"/>
          <w:szCs w:val="20"/>
        </w:rPr>
        <w:t xml:space="preserve">  These controller components will be the interface to the user code via ROS2 or CAN bus messages as appropriate.  These components could be ignition plugins or separate processes and this remains up for discussion.</w:t>
      </w:r>
      <w:bookmarkStart w:id="0" w:name="_GoBack"/>
      <w:bookmarkEnd w:id="0"/>
    </w:p>
    <w:p w14:paraId="77133AD5" w14:textId="73ED2A71" w:rsidR="00794792" w:rsidRPr="005C0198" w:rsidRDefault="00794792" w:rsidP="009E4FEC">
      <w:pPr>
        <w:spacing w:after="120"/>
        <w:rPr>
          <w:rFonts w:asciiTheme="majorHAnsi" w:hAnsiTheme="majorHAnsi" w:cstheme="majorHAnsi"/>
          <w:sz w:val="20"/>
          <w:szCs w:val="20"/>
          <w:u w:val="single"/>
        </w:rPr>
      </w:pPr>
      <w:r w:rsidRPr="001B2145">
        <w:rPr>
          <w:rFonts w:asciiTheme="majorHAnsi" w:hAnsiTheme="majorHAnsi" w:cstheme="majorHAnsi"/>
          <w:sz w:val="20"/>
          <w:szCs w:val="20"/>
          <w:u w:val="single"/>
        </w:rPr>
        <w:t>Rigid Bodies</w:t>
      </w:r>
    </w:p>
    <w:p w14:paraId="6C82397E" w14:textId="4119E4A2" w:rsidR="00794792" w:rsidRPr="001823A5" w:rsidRDefault="005C0198" w:rsidP="005C0198">
      <w:pPr>
        <w:pStyle w:val="ListParagraph"/>
        <w:numPr>
          <w:ilvl w:val="0"/>
          <w:numId w:val="2"/>
        </w:numPr>
        <w:rPr>
          <w:rFonts w:asciiTheme="majorHAnsi" w:hAnsiTheme="majorHAnsi" w:cstheme="majorHAnsi"/>
          <w:sz w:val="20"/>
          <w:szCs w:val="20"/>
        </w:rPr>
      </w:pPr>
      <w:r w:rsidRPr="00E73948">
        <w:rPr>
          <w:rFonts w:asciiTheme="majorHAnsi" w:hAnsiTheme="majorHAnsi" w:cstheme="majorHAnsi"/>
          <w:b/>
          <w:sz w:val="20"/>
          <w:szCs w:val="20"/>
        </w:rPr>
        <w:t>Buoy</w:t>
      </w:r>
      <w:r w:rsidRPr="001823A5">
        <w:rPr>
          <w:rFonts w:asciiTheme="majorHAnsi" w:hAnsiTheme="majorHAnsi" w:cstheme="majorHAnsi"/>
          <w:sz w:val="20"/>
          <w:szCs w:val="20"/>
        </w:rPr>
        <w:t xml:space="preserve">:  </w:t>
      </w:r>
      <w:r w:rsidR="00E73948">
        <w:rPr>
          <w:rFonts w:asciiTheme="majorHAnsi" w:hAnsiTheme="majorHAnsi" w:cstheme="majorHAnsi"/>
          <w:sz w:val="20"/>
          <w:szCs w:val="20"/>
        </w:rPr>
        <w:t>This is the b</w:t>
      </w:r>
      <w:r w:rsidR="00D7097D" w:rsidRPr="001823A5">
        <w:rPr>
          <w:rFonts w:asciiTheme="majorHAnsi" w:hAnsiTheme="majorHAnsi" w:cstheme="majorHAnsi"/>
          <w:sz w:val="20"/>
          <w:szCs w:val="20"/>
        </w:rPr>
        <w:t>uoy floating on the water surface</w:t>
      </w:r>
      <w:r w:rsidR="00152AB2">
        <w:rPr>
          <w:rFonts w:asciiTheme="majorHAnsi" w:hAnsiTheme="majorHAnsi" w:cstheme="majorHAnsi"/>
          <w:sz w:val="20"/>
          <w:szCs w:val="20"/>
        </w:rPr>
        <w:t xml:space="preserve"> and is free to move in 6 degrees of freedom.  It is </w:t>
      </w:r>
      <w:r w:rsidR="00D7097D" w:rsidRPr="001823A5">
        <w:rPr>
          <w:rFonts w:asciiTheme="majorHAnsi" w:hAnsiTheme="majorHAnsi" w:cstheme="majorHAnsi"/>
          <w:sz w:val="20"/>
          <w:szCs w:val="20"/>
        </w:rPr>
        <w:t>connected to the PTO with a 2 DOF universal joint and subjected to free-surface buoyancy, and linear wave-body interaction forces.   The universal joint does have some limit of travel that should very rarely be encountered. The simplest wave-body interaction forces are due to linear buoyancy and hydrodynamics.  Higher order forces are quadratic drag forces and non-linear buoyancy forces.  Second order or fully-non-linear wave-forces are probably beyond what’s required.</w:t>
      </w:r>
    </w:p>
    <w:p w14:paraId="6500C68E" w14:textId="34F2BB9D" w:rsidR="00D7097D" w:rsidRDefault="00D7097D" w:rsidP="005C0198">
      <w:pPr>
        <w:pStyle w:val="ListParagraph"/>
        <w:numPr>
          <w:ilvl w:val="0"/>
          <w:numId w:val="2"/>
        </w:numPr>
        <w:rPr>
          <w:rFonts w:asciiTheme="majorHAnsi" w:hAnsiTheme="majorHAnsi" w:cstheme="majorHAnsi"/>
          <w:sz w:val="20"/>
          <w:szCs w:val="20"/>
        </w:rPr>
      </w:pPr>
      <w:r w:rsidRPr="00E73948">
        <w:rPr>
          <w:rFonts w:asciiTheme="majorHAnsi" w:hAnsiTheme="majorHAnsi" w:cstheme="majorHAnsi"/>
          <w:b/>
          <w:sz w:val="20"/>
          <w:szCs w:val="20"/>
        </w:rPr>
        <w:t>PTO</w:t>
      </w:r>
      <w:r w:rsidRPr="003333D0">
        <w:rPr>
          <w:rFonts w:asciiTheme="majorHAnsi" w:hAnsiTheme="majorHAnsi" w:cstheme="majorHAnsi"/>
          <w:sz w:val="20"/>
          <w:szCs w:val="20"/>
        </w:rPr>
        <w:t xml:space="preserve">:  This is the main component of the power take-off unit and is connected to the Buoy with a 2DOF universal joint.  This body is subject to submerged body buoyancy, </w:t>
      </w:r>
      <w:r w:rsidR="001823A5" w:rsidRPr="003333D0">
        <w:rPr>
          <w:rFonts w:asciiTheme="majorHAnsi" w:hAnsiTheme="majorHAnsi" w:cstheme="majorHAnsi"/>
          <w:sz w:val="20"/>
          <w:szCs w:val="20"/>
        </w:rPr>
        <w:t>viscous drag forces</w:t>
      </w:r>
      <w:r w:rsidR="003333D0" w:rsidRPr="003333D0">
        <w:rPr>
          <w:rFonts w:asciiTheme="majorHAnsi" w:hAnsiTheme="majorHAnsi" w:cstheme="majorHAnsi"/>
          <w:sz w:val="20"/>
          <w:szCs w:val="20"/>
        </w:rPr>
        <w:t xml:space="preserve">, </w:t>
      </w:r>
      <w:r w:rsidR="00E73948">
        <w:rPr>
          <w:rFonts w:asciiTheme="majorHAnsi" w:hAnsiTheme="majorHAnsi" w:cstheme="majorHAnsi"/>
          <w:sz w:val="20"/>
          <w:szCs w:val="20"/>
        </w:rPr>
        <w:t>pneumatic spring forces, hydraulic forces, electric drive torque, and friction forces from both the piston and the tether.</w:t>
      </w:r>
    </w:p>
    <w:p w14:paraId="1E0FC585" w14:textId="77777777" w:rsidR="00E73948" w:rsidRDefault="00E73948" w:rsidP="005C0198">
      <w:pPr>
        <w:pStyle w:val="ListParagraph"/>
        <w:numPr>
          <w:ilvl w:val="0"/>
          <w:numId w:val="2"/>
        </w:numPr>
        <w:rPr>
          <w:rFonts w:asciiTheme="majorHAnsi" w:hAnsiTheme="majorHAnsi" w:cstheme="majorHAnsi"/>
          <w:sz w:val="20"/>
          <w:szCs w:val="20"/>
        </w:rPr>
      </w:pPr>
      <w:r w:rsidRPr="00E73948">
        <w:rPr>
          <w:rFonts w:asciiTheme="majorHAnsi" w:hAnsiTheme="majorHAnsi" w:cstheme="majorHAnsi"/>
          <w:b/>
          <w:sz w:val="20"/>
          <w:szCs w:val="20"/>
        </w:rPr>
        <w:t>Piston</w:t>
      </w:r>
      <w:r>
        <w:rPr>
          <w:rFonts w:asciiTheme="majorHAnsi" w:hAnsiTheme="majorHAnsi" w:cstheme="majorHAnsi"/>
          <w:sz w:val="20"/>
          <w:szCs w:val="20"/>
        </w:rPr>
        <w:t>:  The piston lives inside the PTO housing and is related to the PTO position by a 1DOF prismatic joint that has end-of-travel limitations.  The piston is subject to pneumatic spring forces, hydraulic forces, friction forces, and tether attachment forces.  This rigid body is almost entirely housed inside the PTO housing so does not have its own buoyancy forces.  There is a small and variable portion of this that extends into the surrounding water, but the buoyancy force contributed by this is very small and therefore neglected.</w:t>
      </w:r>
    </w:p>
    <w:p w14:paraId="73149BC7" w14:textId="5A0F5959" w:rsidR="00152AB2" w:rsidRDefault="00152AB2" w:rsidP="005C0198">
      <w:pPr>
        <w:pStyle w:val="ListParagraph"/>
        <w:numPr>
          <w:ilvl w:val="0"/>
          <w:numId w:val="2"/>
        </w:numPr>
        <w:rPr>
          <w:rFonts w:asciiTheme="majorHAnsi" w:hAnsiTheme="majorHAnsi" w:cstheme="majorHAnsi"/>
          <w:sz w:val="20"/>
          <w:szCs w:val="20"/>
        </w:rPr>
      </w:pPr>
      <w:proofErr w:type="spellStart"/>
      <w:r>
        <w:rPr>
          <w:rFonts w:asciiTheme="majorHAnsi" w:hAnsiTheme="majorHAnsi" w:cstheme="majorHAnsi"/>
          <w:b/>
          <w:sz w:val="20"/>
          <w:szCs w:val="20"/>
        </w:rPr>
        <w:t>HeaveCone</w:t>
      </w:r>
      <w:proofErr w:type="spellEnd"/>
      <w:r w:rsidRPr="00152AB2">
        <w:rPr>
          <w:rFonts w:asciiTheme="majorHAnsi" w:hAnsiTheme="majorHAnsi" w:cstheme="majorHAnsi"/>
          <w:sz w:val="20"/>
          <w:szCs w:val="20"/>
        </w:rPr>
        <w:t>:</w:t>
      </w:r>
      <w:r>
        <w:rPr>
          <w:rFonts w:asciiTheme="majorHAnsi" w:hAnsiTheme="majorHAnsi" w:cstheme="majorHAnsi"/>
          <w:sz w:val="20"/>
          <w:szCs w:val="20"/>
        </w:rPr>
        <w:t xml:space="preserve">  This is the submerged heave cone and is free to move in 6 degrees of freedom.  This body is subject to buoyancy, submerged body h</w:t>
      </w:r>
      <w:r w:rsidR="00DD06D0">
        <w:rPr>
          <w:rFonts w:asciiTheme="majorHAnsi" w:hAnsiTheme="majorHAnsi" w:cstheme="majorHAnsi"/>
          <w:sz w:val="20"/>
          <w:szCs w:val="20"/>
        </w:rPr>
        <w:t>ydrodynamics, viscous drag, tether forces, and mooring forces.</w:t>
      </w:r>
    </w:p>
    <w:p w14:paraId="19E39968" w14:textId="770852AC" w:rsidR="00DF2D88" w:rsidRDefault="00DF2D88" w:rsidP="005C0198">
      <w:pPr>
        <w:pStyle w:val="ListParagraph"/>
        <w:numPr>
          <w:ilvl w:val="0"/>
          <w:numId w:val="2"/>
        </w:numPr>
        <w:rPr>
          <w:rFonts w:asciiTheme="majorHAnsi" w:hAnsiTheme="majorHAnsi" w:cstheme="majorHAnsi"/>
          <w:sz w:val="20"/>
          <w:szCs w:val="20"/>
        </w:rPr>
      </w:pPr>
      <w:r>
        <w:rPr>
          <w:rFonts w:asciiTheme="majorHAnsi" w:hAnsiTheme="majorHAnsi" w:cstheme="majorHAnsi"/>
          <w:b/>
          <w:sz w:val="20"/>
          <w:szCs w:val="20"/>
        </w:rPr>
        <w:t>Tether Elements</w:t>
      </w:r>
      <w:r w:rsidRPr="00DF2D88">
        <w:rPr>
          <w:rFonts w:asciiTheme="majorHAnsi" w:hAnsiTheme="majorHAnsi" w:cstheme="majorHAnsi"/>
          <w:sz w:val="20"/>
          <w:szCs w:val="20"/>
        </w:rPr>
        <w:t>:</w:t>
      </w:r>
      <w:r>
        <w:rPr>
          <w:rFonts w:asciiTheme="majorHAnsi" w:hAnsiTheme="majorHAnsi" w:cstheme="majorHAnsi"/>
          <w:sz w:val="20"/>
          <w:szCs w:val="20"/>
        </w:rPr>
        <w:t xml:space="preserve">  The tether will consist of multiple slender rigid bodies connected together through joints with a stiffness and damping characteristic.</w:t>
      </w:r>
    </w:p>
    <w:p w14:paraId="58341183" w14:textId="6FEF8921" w:rsidR="00C900F0" w:rsidRPr="00C900F0" w:rsidRDefault="00FB5397" w:rsidP="00C900F0">
      <w:pPr>
        <w:spacing w:after="120"/>
        <w:rPr>
          <w:rFonts w:asciiTheme="majorHAnsi" w:hAnsiTheme="majorHAnsi" w:cstheme="majorHAnsi"/>
          <w:sz w:val="20"/>
          <w:szCs w:val="20"/>
          <w:u w:val="single"/>
        </w:rPr>
      </w:pPr>
      <w:r>
        <w:rPr>
          <w:rFonts w:asciiTheme="majorHAnsi" w:hAnsiTheme="majorHAnsi" w:cstheme="majorHAnsi"/>
          <w:sz w:val="20"/>
          <w:szCs w:val="20"/>
          <w:u w:val="single"/>
        </w:rPr>
        <w:t>Computed Forces (Plugin Code)</w:t>
      </w:r>
    </w:p>
    <w:p w14:paraId="5A004A6D" w14:textId="35A85A0E" w:rsidR="00C900F0" w:rsidRPr="00FB5397" w:rsidRDefault="00FB5397" w:rsidP="005C0198">
      <w:pPr>
        <w:pStyle w:val="ListParagraph"/>
        <w:numPr>
          <w:ilvl w:val="0"/>
          <w:numId w:val="2"/>
        </w:numPr>
        <w:rPr>
          <w:rFonts w:asciiTheme="majorHAnsi" w:hAnsiTheme="majorHAnsi" w:cstheme="majorHAnsi"/>
          <w:b/>
          <w:sz w:val="20"/>
          <w:szCs w:val="20"/>
        </w:rPr>
      </w:pPr>
      <w:r w:rsidRPr="00FB5397">
        <w:rPr>
          <w:rFonts w:asciiTheme="majorHAnsi" w:hAnsiTheme="majorHAnsi" w:cstheme="majorHAnsi"/>
          <w:b/>
          <w:sz w:val="20"/>
          <w:szCs w:val="20"/>
        </w:rPr>
        <w:lastRenderedPageBreak/>
        <w:t xml:space="preserve">Buoyancy: </w:t>
      </w:r>
      <w:r>
        <w:rPr>
          <w:rFonts w:asciiTheme="majorHAnsi" w:hAnsiTheme="majorHAnsi" w:cstheme="majorHAnsi"/>
          <w:b/>
          <w:sz w:val="20"/>
          <w:szCs w:val="20"/>
        </w:rPr>
        <w:t xml:space="preserve"> </w:t>
      </w:r>
      <w:r>
        <w:rPr>
          <w:rFonts w:asciiTheme="majorHAnsi" w:hAnsiTheme="majorHAnsi" w:cstheme="majorHAnsi"/>
          <w:sz w:val="20"/>
          <w:szCs w:val="20"/>
        </w:rPr>
        <w:t>Submerged Body Buoyancy.  Applies vertical force at the center of buoyancy based upon the bodies submerged volume.  Exists in Gazebo Ignit</w:t>
      </w:r>
      <w:r w:rsidR="00DF2D88">
        <w:rPr>
          <w:rFonts w:asciiTheme="majorHAnsi" w:hAnsiTheme="majorHAnsi" w:cstheme="majorHAnsi"/>
          <w:sz w:val="20"/>
          <w:szCs w:val="20"/>
        </w:rPr>
        <w:t>i</w:t>
      </w:r>
      <w:r>
        <w:rPr>
          <w:rFonts w:asciiTheme="majorHAnsi" w:hAnsiTheme="majorHAnsi" w:cstheme="majorHAnsi"/>
          <w:sz w:val="20"/>
          <w:szCs w:val="20"/>
        </w:rPr>
        <w:t>on.</w:t>
      </w:r>
    </w:p>
    <w:p w14:paraId="28EF4578" w14:textId="77777777" w:rsidR="00EC4427" w:rsidRPr="00EC4427" w:rsidRDefault="00FB5397" w:rsidP="005C0198">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Buoyancy_FS</w:t>
      </w:r>
      <w:proofErr w:type="spellEnd"/>
      <w:r>
        <w:rPr>
          <w:rFonts w:asciiTheme="majorHAnsi" w:hAnsiTheme="majorHAnsi" w:cstheme="majorHAnsi"/>
          <w:b/>
          <w:sz w:val="20"/>
          <w:szCs w:val="20"/>
        </w:rPr>
        <w:t>:</w:t>
      </w:r>
      <w:r>
        <w:rPr>
          <w:rFonts w:asciiTheme="majorHAnsi" w:hAnsiTheme="majorHAnsi" w:cstheme="majorHAnsi"/>
          <w:sz w:val="20"/>
          <w:szCs w:val="20"/>
        </w:rPr>
        <w:t xml:space="preserve">  Floating body Buoyancy. Applies vertical force at the instantaneous center of buoyancy for a floating body, and depends on pose of the body this is attached to.  The simplest and fastest way to compute this is as a function of waterplane area and second moment of area of waterplane area.  This is suitable for wall-sided shapes, but is inaccurate for bodies that change water-plane area significantly with pose.  In those </w:t>
      </w:r>
      <w:proofErr w:type="gramStart"/>
      <w:r>
        <w:rPr>
          <w:rFonts w:asciiTheme="majorHAnsi" w:hAnsiTheme="majorHAnsi" w:cstheme="majorHAnsi"/>
          <w:sz w:val="20"/>
          <w:szCs w:val="20"/>
        </w:rPr>
        <w:t>cases</w:t>
      </w:r>
      <w:proofErr w:type="gramEnd"/>
      <w:r>
        <w:rPr>
          <w:rFonts w:asciiTheme="majorHAnsi" w:hAnsiTheme="majorHAnsi" w:cstheme="majorHAnsi"/>
          <w:sz w:val="20"/>
          <w:szCs w:val="20"/>
        </w:rPr>
        <w:t xml:space="preserve"> a more computationally intensive and non-linear intensive option is to compute </w:t>
      </w:r>
      <w:r w:rsidR="00EC4427">
        <w:rPr>
          <w:rFonts w:asciiTheme="majorHAnsi" w:hAnsiTheme="majorHAnsi" w:cstheme="majorHAnsi"/>
          <w:sz w:val="20"/>
          <w:szCs w:val="20"/>
        </w:rPr>
        <w:t>the instantaneous submerged volume based on a known body shape.  This is currently being implemented in the Buoyancy plugin for the LRAUV Sim project.</w:t>
      </w:r>
    </w:p>
    <w:p w14:paraId="1AC88629" w14:textId="7445A384" w:rsidR="00FB5397" w:rsidRPr="00EC4427" w:rsidRDefault="00EC4427" w:rsidP="005C0198">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Hydrodynamics:</w:t>
      </w:r>
      <w:r>
        <w:rPr>
          <w:rFonts w:asciiTheme="majorHAnsi" w:hAnsiTheme="majorHAnsi" w:cstheme="majorHAnsi"/>
          <w:sz w:val="20"/>
          <w:szCs w:val="20"/>
        </w:rPr>
        <w:t xml:space="preserve">  Submerged body hydrodynamics.  Based on the added mass and damping stability/derivatives, these forces arise when the body accelerates or rotates.</w:t>
      </w:r>
      <w:r w:rsidR="00FB5397">
        <w:rPr>
          <w:rFonts w:asciiTheme="majorHAnsi" w:hAnsiTheme="majorHAnsi" w:cstheme="majorHAnsi"/>
          <w:sz w:val="20"/>
          <w:szCs w:val="20"/>
        </w:rPr>
        <w:t xml:space="preserve"> </w:t>
      </w:r>
      <w:r>
        <w:rPr>
          <w:rFonts w:asciiTheme="majorHAnsi" w:hAnsiTheme="majorHAnsi" w:cstheme="majorHAnsi"/>
          <w:sz w:val="20"/>
          <w:szCs w:val="20"/>
        </w:rPr>
        <w:t xml:space="preserve"> This is currently implemented in Ignition Gazebo and is actively being worked on as part of the LRAUV Sim project. </w:t>
      </w:r>
    </w:p>
    <w:p w14:paraId="7905E2B9" w14:textId="5E2D8396" w:rsidR="00092347" w:rsidRPr="00092347" w:rsidRDefault="00EC4427" w:rsidP="00092347">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Hydrodynamics_FS</w:t>
      </w:r>
      <w:proofErr w:type="spellEnd"/>
      <w:r>
        <w:rPr>
          <w:rFonts w:asciiTheme="majorHAnsi" w:hAnsiTheme="majorHAnsi" w:cstheme="majorHAnsi"/>
          <w:b/>
          <w:sz w:val="20"/>
          <w:szCs w:val="20"/>
        </w:rPr>
        <w:t xml:space="preserve">: </w:t>
      </w:r>
      <w:r>
        <w:rPr>
          <w:rFonts w:asciiTheme="majorHAnsi" w:hAnsiTheme="majorHAnsi" w:cstheme="majorHAnsi"/>
          <w:sz w:val="20"/>
          <w:szCs w:val="20"/>
        </w:rPr>
        <w:t xml:space="preserve"> Floating body hydrodynamics.  For floating bodies in the presence of surface-waves, the hydrodynamics contain a memory</w:t>
      </w:r>
      <w:r w:rsidR="003A3965">
        <w:rPr>
          <w:rFonts w:asciiTheme="majorHAnsi" w:hAnsiTheme="majorHAnsi" w:cstheme="majorHAnsi"/>
          <w:sz w:val="20"/>
          <w:szCs w:val="20"/>
        </w:rPr>
        <w:t xml:space="preserve"> of recent history and the formulation for the resulting forces are broken up into wave-exciting forces, radiation forces, and diffraction forces, each of which depend upon the bodies pose and the instantaneous position of the incident wave field. </w:t>
      </w:r>
      <w:r w:rsidR="00092347">
        <w:rPr>
          <w:rFonts w:asciiTheme="majorHAnsi" w:hAnsiTheme="majorHAnsi" w:cstheme="majorHAnsi"/>
          <w:sz w:val="20"/>
          <w:szCs w:val="20"/>
        </w:rPr>
        <w:t xml:space="preserve"> This plugin does not yet exist in Ignition Gazebo and could be developed independently or </w:t>
      </w:r>
      <w:r w:rsidR="00851C26">
        <w:rPr>
          <w:rFonts w:asciiTheme="majorHAnsi" w:hAnsiTheme="majorHAnsi" w:cstheme="majorHAnsi"/>
          <w:sz w:val="20"/>
          <w:szCs w:val="20"/>
        </w:rPr>
        <w:t xml:space="preserve">implemented as an enhancement of </w:t>
      </w:r>
      <w:r w:rsidR="00092347">
        <w:rPr>
          <w:rFonts w:asciiTheme="majorHAnsi" w:hAnsiTheme="majorHAnsi" w:cstheme="majorHAnsi"/>
          <w:sz w:val="20"/>
          <w:szCs w:val="20"/>
        </w:rPr>
        <w:t xml:space="preserve">the existing Hydrodynamics plug-in. </w:t>
      </w:r>
    </w:p>
    <w:p w14:paraId="5091E7D4" w14:textId="66217BA8" w:rsidR="00092347" w:rsidRPr="00092347" w:rsidRDefault="00092347" w:rsidP="0009234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Viscous Drag:</w:t>
      </w:r>
      <w:r w:rsidR="00F57D89">
        <w:rPr>
          <w:rFonts w:asciiTheme="majorHAnsi" w:hAnsiTheme="majorHAnsi" w:cstheme="majorHAnsi"/>
          <w:b/>
          <w:sz w:val="20"/>
          <w:szCs w:val="20"/>
        </w:rPr>
        <w:t xml:space="preserve">  </w:t>
      </w:r>
      <w:r w:rsidR="00F57D89">
        <w:rPr>
          <w:rFonts w:asciiTheme="majorHAnsi" w:hAnsiTheme="majorHAnsi" w:cstheme="majorHAnsi"/>
          <w:sz w:val="20"/>
          <w:szCs w:val="20"/>
        </w:rPr>
        <w:t xml:space="preserve">This plugin applies a viscous (proportional to velocity squared) force to the bodies based upon the </w:t>
      </w:r>
      <w:proofErr w:type="gramStart"/>
      <w:r w:rsidR="00F57D89">
        <w:rPr>
          <w:rFonts w:asciiTheme="majorHAnsi" w:hAnsiTheme="majorHAnsi" w:cstheme="majorHAnsi"/>
          <w:sz w:val="20"/>
          <w:szCs w:val="20"/>
        </w:rPr>
        <w:t>bodies</w:t>
      </w:r>
      <w:proofErr w:type="gramEnd"/>
      <w:r w:rsidR="00F57D89">
        <w:rPr>
          <w:rFonts w:asciiTheme="majorHAnsi" w:hAnsiTheme="majorHAnsi" w:cstheme="majorHAnsi"/>
          <w:sz w:val="20"/>
          <w:szCs w:val="20"/>
        </w:rPr>
        <w:t xml:space="preserve"> velocity, fluid density, and drag coefficient specification.</w:t>
      </w:r>
    </w:p>
    <w:p w14:paraId="2C5A5D81" w14:textId="4E4301FE" w:rsidR="00092347" w:rsidRDefault="00092347" w:rsidP="00092347">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PneumaticSpring</w:t>
      </w:r>
      <w:proofErr w:type="spellEnd"/>
      <w:r>
        <w:rPr>
          <w:rFonts w:asciiTheme="majorHAnsi" w:hAnsiTheme="majorHAnsi" w:cstheme="majorHAnsi"/>
          <w:b/>
          <w:sz w:val="20"/>
          <w:szCs w:val="20"/>
        </w:rPr>
        <w:t xml:space="preserve">: </w:t>
      </w:r>
      <w:r w:rsidR="006E3318">
        <w:rPr>
          <w:rFonts w:asciiTheme="majorHAnsi" w:hAnsiTheme="majorHAnsi" w:cstheme="majorHAnsi"/>
          <w:b/>
          <w:sz w:val="20"/>
          <w:szCs w:val="20"/>
        </w:rPr>
        <w:t xml:space="preserve"> </w:t>
      </w:r>
      <w:r w:rsidR="006E3318">
        <w:rPr>
          <w:rFonts w:asciiTheme="majorHAnsi" w:hAnsiTheme="majorHAnsi" w:cstheme="majorHAnsi"/>
          <w:sz w:val="20"/>
          <w:szCs w:val="20"/>
        </w:rPr>
        <w:t>This component</w:t>
      </w:r>
      <w:r w:rsidR="002344B9">
        <w:rPr>
          <w:rFonts w:asciiTheme="majorHAnsi" w:hAnsiTheme="majorHAnsi" w:cstheme="majorHAnsi"/>
          <w:sz w:val="20"/>
          <w:szCs w:val="20"/>
        </w:rPr>
        <w:t xml:space="preserve"> implements an equal and opposite force between the PTO and Piston</w:t>
      </w:r>
      <w:r w:rsidR="00006710">
        <w:rPr>
          <w:rFonts w:asciiTheme="majorHAnsi" w:hAnsiTheme="majorHAnsi" w:cstheme="majorHAnsi"/>
          <w:sz w:val="20"/>
          <w:szCs w:val="20"/>
        </w:rPr>
        <w:t xml:space="preserve">, based on the position and velocity of the piston the prismatic joint it shares with the PTO, and the recent history of the motion to account for gas heating/cooling.  </w:t>
      </w:r>
    </w:p>
    <w:p w14:paraId="1841EAA0" w14:textId="6F292D84" w:rsidR="00386517" w:rsidRPr="002344B9" w:rsidRDefault="00DF2D88" w:rsidP="00092347">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Electro</w:t>
      </w:r>
      <w:r w:rsidR="00386517">
        <w:rPr>
          <w:rFonts w:asciiTheme="majorHAnsi" w:hAnsiTheme="majorHAnsi" w:cstheme="majorHAnsi"/>
          <w:b/>
          <w:sz w:val="20"/>
          <w:szCs w:val="20"/>
        </w:rPr>
        <w:t>Hydraulic</w:t>
      </w:r>
      <w:r>
        <w:rPr>
          <w:rFonts w:asciiTheme="majorHAnsi" w:hAnsiTheme="majorHAnsi" w:cstheme="majorHAnsi"/>
          <w:b/>
          <w:sz w:val="20"/>
          <w:szCs w:val="20"/>
        </w:rPr>
        <w:t>PTO</w:t>
      </w:r>
      <w:proofErr w:type="spellEnd"/>
      <w:r w:rsidR="00386517">
        <w:rPr>
          <w:rFonts w:asciiTheme="majorHAnsi" w:hAnsiTheme="majorHAnsi" w:cstheme="majorHAnsi"/>
          <w:b/>
          <w:sz w:val="20"/>
          <w:szCs w:val="20"/>
        </w:rPr>
        <w:t>:</w:t>
      </w:r>
      <w:r w:rsidR="006E3318">
        <w:rPr>
          <w:rFonts w:asciiTheme="majorHAnsi" w:hAnsiTheme="majorHAnsi" w:cstheme="majorHAnsi"/>
          <w:sz w:val="20"/>
          <w:szCs w:val="20"/>
        </w:rPr>
        <w:t xml:space="preserve">  This</w:t>
      </w:r>
      <w:r w:rsidR="00006710">
        <w:rPr>
          <w:rFonts w:asciiTheme="majorHAnsi" w:hAnsiTheme="majorHAnsi" w:cstheme="majorHAnsi"/>
          <w:sz w:val="20"/>
          <w:szCs w:val="20"/>
        </w:rPr>
        <w:t xml:space="preserve"> component </w:t>
      </w:r>
      <w:r w:rsidR="00B2641E">
        <w:rPr>
          <w:rFonts w:asciiTheme="majorHAnsi" w:hAnsiTheme="majorHAnsi" w:cstheme="majorHAnsi"/>
          <w:sz w:val="20"/>
          <w:szCs w:val="20"/>
        </w:rPr>
        <w:t xml:space="preserve">represents the </w:t>
      </w:r>
    </w:p>
    <w:p w14:paraId="77C5D749" w14:textId="6E9CA953" w:rsidR="002344B9" w:rsidRDefault="00B2641E" w:rsidP="00092347">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Tether</w:t>
      </w:r>
      <w:r w:rsidR="002344B9">
        <w:rPr>
          <w:rFonts w:asciiTheme="majorHAnsi" w:hAnsiTheme="majorHAnsi" w:cstheme="majorHAnsi"/>
          <w:b/>
          <w:sz w:val="20"/>
          <w:szCs w:val="20"/>
        </w:rPr>
        <w:t>Friction</w:t>
      </w:r>
      <w:proofErr w:type="spellEnd"/>
      <w:r w:rsidR="002344B9">
        <w:rPr>
          <w:rFonts w:asciiTheme="majorHAnsi" w:hAnsiTheme="majorHAnsi" w:cstheme="majorHAnsi"/>
          <w:b/>
          <w:sz w:val="20"/>
          <w:szCs w:val="20"/>
        </w:rPr>
        <w:t xml:space="preserve">:  </w:t>
      </w:r>
      <w:r w:rsidRPr="00B2641E">
        <w:rPr>
          <w:rFonts w:asciiTheme="majorHAnsi" w:hAnsiTheme="majorHAnsi" w:cstheme="majorHAnsi"/>
          <w:sz w:val="20"/>
          <w:szCs w:val="20"/>
        </w:rPr>
        <w:t>The</w:t>
      </w:r>
      <w:r>
        <w:rPr>
          <w:rFonts w:asciiTheme="majorHAnsi" w:hAnsiTheme="majorHAnsi" w:cstheme="majorHAnsi"/>
          <w:b/>
          <w:sz w:val="20"/>
          <w:szCs w:val="20"/>
        </w:rPr>
        <w:t xml:space="preserve"> </w:t>
      </w:r>
      <w:proofErr w:type="spellStart"/>
      <w:r>
        <w:rPr>
          <w:rFonts w:asciiTheme="majorHAnsi" w:hAnsiTheme="majorHAnsi" w:cstheme="majorHAnsi"/>
          <w:b/>
          <w:sz w:val="20"/>
          <w:szCs w:val="20"/>
        </w:rPr>
        <w:t>PneumaticSpring</w:t>
      </w:r>
      <w:proofErr w:type="spellEnd"/>
      <w:r>
        <w:rPr>
          <w:rFonts w:asciiTheme="majorHAnsi" w:hAnsiTheme="majorHAnsi" w:cstheme="majorHAnsi"/>
          <w:b/>
          <w:sz w:val="20"/>
          <w:szCs w:val="20"/>
        </w:rPr>
        <w:t xml:space="preserve"> </w:t>
      </w:r>
      <w:r w:rsidRPr="00B2641E">
        <w:rPr>
          <w:rFonts w:asciiTheme="majorHAnsi" w:hAnsiTheme="majorHAnsi" w:cstheme="majorHAnsi"/>
          <w:sz w:val="20"/>
          <w:szCs w:val="20"/>
        </w:rPr>
        <w:t xml:space="preserve">and </w:t>
      </w:r>
      <w:proofErr w:type="spellStart"/>
      <w:r>
        <w:rPr>
          <w:rFonts w:asciiTheme="majorHAnsi" w:hAnsiTheme="majorHAnsi" w:cstheme="majorHAnsi"/>
          <w:b/>
          <w:sz w:val="20"/>
          <w:szCs w:val="20"/>
        </w:rPr>
        <w:t>ElectroHydraulicPTO</w:t>
      </w:r>
      <w:proofErr w:type="spellEnd"/>
      <w:r>
        <w:rPr>
          <w:rFonts w:asciiTheme="majorHAnsi" w:hAnsiTheme="majorHAnsi" w:cstheme="majorHAnsi"/>
          <w:b/>
          <w:sz w:val="20"/>
          <w:szCs w:val="20"/>
        </w:rPr>
        <w:t xml:space="preserve"> </w:t>
      </w:r>
      <w:r>
        <w:rPr>
          <w:rFonts w:asciiTheme="majorHAnsi" w:hAnsiTheme="majorHAnsi" w:cstheme="majorHAnsi"/>
          <w:sz w:val="20"/>
          <w:szCs w:val="20"/>
        </w:rPr>
        <w:t>plugins will include friction models for those elements, but the friction between the tether and tether-guide will be managed by an explicit plugin.</w:t>
      </w:r>
    </w:p>
    <w:p w14:paraId="1ED555B2" w14:textId="77777777" w:rsidR="00386517" w:rsidRDefault="00386517" w:rsidP="00386517">
      <w:pPr>
        <w:pStyle w:val="ListParagraph"/>
        <w:spacing w:after="120"/>
        <w:ind w:left="360"/>
        <w:rPr>
          <w:rFonts w:asciiTheme="majorHAnsi" w:hAnsiTheme="majorHAnsi" w:cstheme="majorHAnsi"/>
          <w:sz w:val="20"/>
          <w:szCs w:val="20"/>
          <w:u w:val="single"/>
        </w:rPr>
      </w:pPr>
    </w:p>
    <w:p w14:paraId="787C849D" w14:textId="003F08BF" w:rsidR="00386517" w:rsidRDefault="00386517" w:rsidP="00D25FC3">
      <w:pPr>
        <w:pStyle w:val="ListParagraph"/>
        <w:spacing w:after="120"/>
        <w:ind w:left="0"/>
        <w:contextualSpacing w:val="0"/>
        <w:rPr>
          <w:rFonts w:asciiTheme="majorHAnsi" w:hAnsiTheme="majorHAnsi" w:cstheme="majorHAnsi"/>
          <w:sz w:val="20"/>
          <w:szCs w:val="20"/>
          <w:u w:val="single"/>
        </w:rPr>
      </w:pPr>
      <w:r>
        <w:rPr>
          <w:rFonts w:asciiTheme="majorHAnsi" w:hAnsiTheme="majorHAnsi" w:cstheme="majorHAnsi"/>
          <w:sz w:val="20"/>
          <w:szCs w:val="20"/>
          <w:u w:val="single"/>
        </w:rPr>
        <w:t>Controllers and Sensors (Plugin Code)</w:t>
      </w:r>
    </w:p>
    <w:p w14:paraId="2EFBF300" w14:textId="39D13E70" w:rsidR="006C6CAE" w:rsidRPr="004B4B77" w:rsidRDefault="00D25FC3" w:rsidP="006C6CAE">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SpringController</w:t>
      </w:r>
      <w:proofErr w:type="spellEnd"/>
      <w:r w:rsidR="006C6CAE">
        <w:rPr>
          <w:rFonts w:asciiTheme="majorHAnsi" w:hAnsiTheme="majorHAnsi" w:cstheme="majorHAnsi"/>
          <w:b/>
          <w:sz w:val="20"/>
          <w:szCs w:val="20"/>
        </w:rPr>
        <w:t>:</w:t>
      </w:r>
      <w:r w:rsidR="004B4B77">
        <w:rPr>
          <w:rFonts w:asciiTheme="majorHAnsi" w:hAnsiTheme="majorHAnsi" w:cstheme="majorHAnsi"/>
          <w:sz w:val="20"/>
          <w:szCs w:val="20"/>
        </w:rPr>
        <w:t xml:space="preserve">  This controller mimics the telemetry output of the deployed spring controller, and responds appropriately to commands by adjusting the behavior of the </w:t>
      </w:r>
      <w:proofErr w:type="spellStart"/>
      <w:r w:rsidR="004B4B77">
        <w:rPr>
          <w:rFonts w:asciiTheme="majorHAnsi" w:hAnsiTheme="majorHAnsi" w:cstheme="majorHAnsi"/>
          <w:sz w:val="20"/>
          <w:szCs w:val="20"/>
        </w:rPr>
        <w:t>PneumaticSpring</w:t>
      </w:r>
      <w:proofErr w:type="spellEnd"/>
      <w:r w:rsidR="004B4B77">
        <w:rPr>
          <w:rFonts w:asciiTheme="majorHAnsi" w:hAnsiTheme="majorHAnsi" w:cstheme="majorHAnsi"/>
          <w:sz w:val="20"/>
          <w:szCs w:val="20"/>
        </w:rPr>
        <w:t xml:space="preserve"> plugin.  </w:t>
      </w:r>
      <w:r w:rsidR="00F57D89">
        <w:rPr>
          <w:rFonts w:asciiTheme="majorHAnsi" w:hAnsiTheme="majorHAnsi" w:cstheme="majorHAnsi"/>
          <w:sz w:val="20"/>
          <w:szCs w:val="20"/>
        </w:rPr>
        <w:t>Communication with the simulation is through ignition gazebo.</w:t>
      </w:r>
    </w:p>
    <w:p w14:paraId="38D10BC3" w14:textId="5A85623C" w:rsidR="004B4B77" w:rsidRPr="00F57D89" w:rsidRDefault="004B4B77" w:rsidP="00F57D89">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PowerController</w:t>
      </w:r>
      <w:proofErr w:type="spellEnd"/>
      <w:r>
        <w:rPr>
          <w:rFonts w:asciiTheme="majorHAnsi" w:hAnsiTheme="majorHAnsi" w:cstheme="majorHAnsi"/>
          <w:b/>
          <w:sz w:val="20"/>
          <w:szCs w:val="20"/>
        </w:rPr>
        <w:t>:</w:t>
      </w:r>
      <w:r>
        <w:rPr>
          <w:rFonts w:asciiTheme="majorHAnsi" w:hAnsiTheme="majorHAnsi" w:cstheme="majorHAnsi"/>
          <w:sz w:val="20"/>
          <w:szCs w:val="20"/>
        </w:rPr>
        <w:t xml:space="preserve">  This controller </w:t>
      </w:r>
      <w:r w:rsidR="00802C27">
        <w:rPr>
          <w:rFonts w:asciiTheme="majorHAnsi" w:hAnsiTheme="majorHAnsi" w:cstheme="majorHAnsi"/>
          <w:sz w:val="20"/>
          <w:szCs w:val="20"/>
        </w:rPr>
        <w:t xml:space="preserve">commands the </w:t>
      </w:r>
      <w:proofErr w:type="spellStart"/>
      <w:r w:rsidR="00802C27">
        <w:rPr>
          <w:rFonts w:asciiTheme="majorHAnsi" w:hAnsiTheme="majorHAnsi" w:cstheme="majorHAnsi"/>
          <w:sz w:val="20"/>
          <w:szCs w:val="20"/>
        </w:rPr>
        <w:t>Electric</w:t>
      </w:r>
      <w:r w:rsidR="00F57D89">
        <w:rPr>
          <w:rFonts w:asciiTheme="majorHAnsi" w:hAnsiTheme="majorHAnsi" w:cstheme="majorHAnsi"/>
          <w:sz w:val="20"/>
          <w:szCs w:val="20"/>
        </w:rPr>
        <w:t>HydraulicPTO</w:t>
      </w:r>
      <w:proofErr w:type="spellEnd"/>
      <w:r w:rsidR="00F57D89">
        <w:rPr>
          <w:rFonts w:asciiTheme="majorHAnsi" w:hAnsiTheme="majorHAnsi" w:cstheme="majorHAnsi"/>
          <w:sz w:val="20"/>
          <w:szCs w:val="20"/>
        </w:rPr>
        <w:t xml:space="preserve"> </w:t>
      </w:r>
      <w:r w:rsidR="00802C27">
        <w:rPr>
          <w:rFonts w:asciiTheme="majorHAnsi" w:hAnsiTheme="majorHAnsi" w:cstheme="majorHAnsi"/>
          <w:sz w:val="20"/>
          <w:szCs w:val="20"/>
        </w:rPr>
        <w:t xml:space="preserve">plugin to instill a specific winding current, which </w:t>
      </w:r>
      <w:r w:rsidR="00073A2C">
        <w:rPr>
          <w:rFonts w:asciiTheme="majorHAnsi" w:hAnsiTheme="majorHAnsi" w:cstheme="majorHAnsi"/>
          <w:sz w:val="20"/>
          <w:szCs w:val="20"/>
        </w:rPr>
        <w:t xml:space="preserve">results in an </w:t>
      </w:r>
      <w:r w:rsidR="00802C27">
        <w:rPr>
          <w:rFonts w:asciiTheme="majorHAnsi" w:hAnsiTheme="majorHAnsi" w:cstheme="majorHAnsi"/>
          <w:sz w:val="20"/>
          <w:szCs w:val="20"/>
        </w:rPr>
        <w:t>appropriate torque, voltage and electrical.</w:t>
      </w:r>
      <w:r w:rsidR="00073A2C">
        <w:rPr>
          <w:rFonts w:asciiTheme="majorHAnsi" w:hAnsiTheme="majorHAnsi" w:cstheme="majorHAnsi"/>
          <w:sz w:val="20"/>
          <w:szCs w:val="20"/>
        </w:rPr>
        <w:t xml:space="preserve">  This controller implements a default current control law that depends on Motor Rotor RPM and piston position.  This controller also accepts a commanded current that is over-rides the default when certain conditions are true.</w:t>
      </w:r>
      <w:r w:rsidR="00F57D89" w:rsidRPr="00F57D89">
        <w:rPr>
          <w:rFonts w:asciiTheme="majorHAnsi" w:hAnsiTheme="majorHAnsi" w:cstheme="majorHAnsi"/>
          <w:sz w:val="20"/>
          <w:szCs w:val="20"/>
        </w:rPr>
        <w:t xml:space="preserve"> </w:t>
      </w:r>
      <w:r w:rsidR="00F57D89">
        <w:rPr>
          <w:rFonts w:asciiTheme="majorHAnsi" w:hAnsiTheme="majorHAnsi" w:cstheme="majorHAnsi"/>
          <w:sz w:val="20"/>
          <w:szCs w:val="20"/>
        </w:rPr>
        <w:t>Communication with the simulation is through ignition gazebo.</w:t>
      </w:r>
    </w:p>
    <w:p w14:paraId="51002333" w14:textId="4D557BC2" w:rsidR="00F57D89" w:rsidRPr="004B4B77" w:rsidRDefault="00073A2C" w:rsidP="00F57D89">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BatteryController</w:t>
      </w:r>
      <w:proofErr w:type="spellEnd"/>
      <w:r>
        <w:rPr>
          <w:rFonts w:asciiTheme="majorHAnsi" w:hAnsiTheme="majorHAnsi" w:cstheme="majorHAnsi"/>
          <w:b/>
          <w:sz w:val="20"/>
          <w:szCs w:val="20"/>
        </w:rPr>
        <w:t>:</w:t>
      </w:r>
      <w:r w:rsidR="00F57D89" w:rsidRPr="00F57D89">
        <w:rPr>
          <w:rFonts w:asciiTheme="majorHAnsi" w:hAnsiTheme="majorHAnsi" w:cstheme="majorHAnsi"/>
          <w:sz w:val="20"/>
          <w:szCs w:val="20"/>
        </w:rPr>
        <w:t xml:space="preserve"> </w:t>
      </w:r>
      <w:r w:rsidR="00F57D89">
        <w:rPr>
          <w:rFonts w:asciiTheme="majorHAnsi" w:hAnsiTheme="majorHAnsi" w:cstheme="majorHAnsi"/>
          <w:sz w:val="20"/>
          <w:szCs w:val="20"/>
        </w:rPr>
        <w:t xml:space="preserve"> </w:t>
      </w:r>
      <w:r w:rsidR="00F57D89">
        <w:rPr>
          <w:rFonts w:asciiTheme="majorHAnsi" w:hAnsiTheme="majorHAnsi" w:cstheme="majorHAnsi"/>
          <w:sz w:val="20"/>
          <w:szCs w:val="20"/>
        </w:rPr>
        <w:t>Communication with the simulation is through ignition gazebo.</w:t>
      </w:r>
    </w:p>
    <w:p w14:paraId="31E53EC3" w14:textId="03026CFC" w:rsidR="00073A2C" w:rsidRDefault="00073A2C" w:rsidP="006C6CAE">
      <w:pPr>
        <w:pStyle w:val="ListParagraph"/>
        <w:numPr>
          <w:ilvl w:val="0"/>
          <w:numId w:val="2"/>
        </w:numPr>
        <w:rPr>
          <w:rFonts w:asciiTheme="majorHAnsi" w:hAnsiTheme="majorHAnsi" w:cstheme="majorHAnsi"/>
          <w:b/>
          <w:sz w:val="20"/>
          <w:szCs w:val="20"/>
        </w:rPr>
      </w:pPr>
    </w:p>
    <w:p w14:paraId="0F1BBD4B" w14:textId="2D91B9EB" w:rsidR="00073A2C" w:rsidRDefault="00073A2C" w:rsidP="006C6CAE">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TrefoilController</w:t>
      </w:r>
      <w:proofErr w:type="spellEnd"/>
      <w:r w:rsidR="00F57D89">
        <w:rPr>
          <w:rFonts w:asciiTheme="majorHAnsi" w:hAnsiTheme="majorHAnsi" w:cstheme="majorHAnsi"/>
          <w:b/>
          <w:sz w:val="20"/>
          <w:szCs w:val="20"/>
        </w:rPr>
        <w:t>:</w:t>
      </w:r>
    </w:p>
    <w:p w14:paraId="6A480A17" w14:textId="4A9636B3" w:rsidR="00073A2C" w:rsidRDefault="00073A2C" w:rsidP="006C6CAE">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X-Bow AHRS</w:t>
      </w:r>
      <w:r w:rsidR="00F57D89">
        <w:rPr>
          <w:rFonts w:asciiTheme="majorHAnsi" w:hAnsiTheme="majorHAnsi" w:cstheme="majorHAnsi"/>
          <w:b/>
          <w:sz w:val="20"/>
          <w:szCs w:val="20"/>
        </w:rPr>
        <w:t>:</w:t>
      </w:r>
    </w:p>
    <w:p w14:paraId="4D15F1AF" w14:textId="7FBD520E" w:rsidR="00073A2C" w:rsidRDefault="00073A2C" w:rsidP="006C6CAE">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Radar</w:t>
      </w:r>
      <w:r w:rsidR="00F57D89">
        <w:rPr>
          <w:rFonts w:asciiTheme="majorHAnsi" w:hAnsiTheme="majorHAnsi" w:cstheme="majorHAnsi"/>
          <w:b/>
          <w:sz w:val="20"/>
          <w:szCs w:val="20"/>
        </w:rPr>
        <w:t>:</w:t>
      </w:r>
    </w:p>
    <w:p w14:paraId="0E331DC3" w14:textId="77777777" w:rsidR="00073A2C" w:rsidRDefault="00073A2C" w:rsidP="006C6CAE">
      <w:pPr>
        <w:pStyle w:val="ListParagraph"/>
        <w:numPr>
          <w:ilvl w:val="0"/>
          <w:numId w:val="2"/>
        </w:numPr>
        <w:rPr>
          <w:rFonts w:asciiTheme="majorHAnsi" w:hAnsiTheme="majorHAnsi" w:cstheme="majorHAnsi"/>
          <w:b/>
          <w:sz w:val="20"/>
          <w:szCs w:val="20"/>
        </w:rPr>
      </w:pPr>
    </w:p>
    <w:p w14:paraId="0586161F" w14:textId="77777777" w:rsidR="00386517" w:rsidRPr="00386517" w:rsidRDefault="00386517" w:rsidP="00386517">
      <w:pPr>
        <w:rPr>
          <w:rFonts w:asciiTheme="majorHAnsi" w:hAnsiTheme="majorHAnsi" w:cstheme="majorHAnsi"/>
          <w:b/>
          <w:sz w:val="20"/>
          <w:szCs w:val="20"/>
        </w:rPr>
      </w:pPr>
    </w:p>
    <w:sectPr w:rsidR="00386517" w:rsidRPr="00386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86895"/>
    <w:multiLevelType w:val="hybridMultilevel"/>
    <w:tmpl w:val="DE62D386"/>
    <w:lvl w:ilvl="0" w:tplc="BA061486">
      <w:numFmt w:val="bullet"/>
      <w:lvlText w:val="-"/>
      <w:lvlJc w:val="left"/>
      <w:pPr>
        <w:ind w:left="360" w:hanging="36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44116DF"/>
    <w:multiLevelType w:val="hybridMultilevel"/>
    <w:tmpl w:val="C2E44AFC"/>
    <w:lvl w:ilvl="0" w:tplc="606468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695BE4"/>
    <w:multiLevelType w:val="hybridMultilevel"/>
    <w:tmpl w:val="63147AC8"/>
    <w:lvl w:ilvl="0" w:tplc="487C0C6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F09"/>
    <w:rsid w:val="00006710"/>
    <w:rsid w:val="00073A2C"/>
    <w:rsid w:val="00092347"/>
    <w:rsid w:val="001022AA"/>
    <w:rsid w:val="0013567A"/>
    <w:rsid w:val="00152AB2"/>
    <w:rsid w:val="001823A5"/>
    <w:rsid w:val="001B2145"/>
    <w:rsid w:val="001F6541"/>
    <w:rsid w:val="00207AC8"/>
    <w:rsid w:val="002344B9"/>
    <w:rsid w:val="002E6910"/>
    <w:rsid w:val="002F6033"/>
    <w:rsid w:val="003333D0"/>
    <w:rsid w:val="00386517"/>
    <w:rsid w:val="003A3965"/>
    <w:rsid w:val="004B4B77"/>
    <w:rsid w:val="00522BAC"/>
    <w:rsid w:val="00540335"/>
    <w:rsid w:val="005C0198"/>
    <w:rsid w:val="006854A6"/>
    <w:rsid w:val="006C6CAE"/>
    <w:rsid w:val="006E3318"/>
    <w:rsid w:val="00794792"/>
    <w:rsid w:val="007D7537"/>
    <w:rsid w:val="00802C27"/>
    <w:rsid w:val="00851C26"/>
    <w:rsid w:val="008C266D"/>
    <w:rsid w:val="009136AD"/>
    <w:rsid w:val="009554F0"/>
    <w:rsid w:val="00980FFE"/>
    <w:rsid w:val="00993F09"/>
    <w:rsid w:val="009E4FEC"/>
    <w:rsid w:val="00B2641E"/>
    <w:rsid w:val="00C900F0"/>
    <w:rsid w:val="00CE6566"/>
    <w:rsid w:val="00D25FC3"/>
    <w:rsid w:val="00D7097D"/>
    <w:rsid w:val="00DD06D0"/>
    <w:rsid w:val="00DF2D88"/>
    <w:rsid w:val="00E73948"/>
    <w:rsid w:val="00EC4427"/>
    <w:rsid w:val="00F57D89"/>
    <w:rsid w:val="00FB5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3707"/>
  <w15:chartTrackingRefBased/>
  <w15:docId w15:val="{33884823-9BB0-4C22-9644-DBB37764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7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79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C0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3</Pages>
  <Words>1812</Words>
  <Characters>10331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29</cp:revision>
  <dcterms:created xsi:type="dcterms:W3CDTF">2022-02-08T22:40:00Z</dcterms:created>
  <dcterms:modified xsi:type="dcterms:W3CDTF">2022-03-03T23:25:00Z</dcterms:modified>
</cp:coreProperties>
</file>