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FDC" w:rsidRDefault="00963FDC"/>
    <w:p w:rsidR="00A41395" w:rsidRDefault="00A41395">
      <w:r>
        <w:t>Preliminary requirements</w:t>
      </w:r>
    </w:p>
    <w:p w:rsidR="00A41395" w:rsidRDefault="00A41395">
      <w:r>
        <w:t xml:space="preserve">Battery backup for TF Controller </w:t>
      </w:r>
    </w:p>
    <w:p w:rsidR="00A41395" w:rsidRDefault="00A41395" w:rsidP="00A41395">
      <w:pPr>
        <w:pStyle w:val="ListParagraph"/>
        <w:numPr>
          <w:ilvl w:val="0"/>
          <w:numId w:val="1"/>
        </w:numPr>
      </w:pPr>
      <w:r>
        <w:t>Capacity: supply 48V</w:t>
      </w:r>
    </w:p>
    <w:p w:rsidR="00A41395" w:rsidRDefault="00A41395" w:rsidP="00A41395">
      <w:pPr>
        <w:pStyle w:val="ListParagraph"/>
        <w:numPr>
          <w:ilvl w:val="1"/>
          <w:numId w:val="1"/>
        </w:numPr>
      </w:pPr>
      <w:r>
        <w:t xml:space="preserve">Function of number of </w:t>
      </w:r>
      <w:r w:rsidR="0035322D">
        <w:t>open-close cycles, and run time (per spreadsheet)</w:t>
      </w:r>
    </w:p>
    <w:p w:rsidR="00A41395" w:rsidRDefault="00A41395" w:rsidP="00A41395">
      <w:pPr>
        <w:pStyle w:val="ListParagraph"/>
        <w:numPr>
          <w:ilvl w:val="1"/>
          <w:numId w:val="1"/>
        </w:numPr>
      </w:pPr>
      <w:r>
        <w:t>44-48V; 1 AH</w:t>
      </w:r>
    </w:p>
    <w:p w:rsidR="00A41395" w:rsidRDefault="00A41395" w:rsidP="00A41395">
      <w:pPr>
        <w:pStyle w:val="ListParagraph"/>
        <w:numPr>
          <w:ilvl w:val="1"/>
          <w:numId w:val="1"/>
        </w:numPr>
      </w:pPr>
      <w:r>
        <w:t>Peak current 4A</w:t>
      </w:r>
    </w:p>
    <w:p w:rsidR="0035322D" w:rsidRDefault="0035322D" w:rsidP="0035322D">
      <w:pPr>
        <w:pStyle w:val="ListParagraph"/>
        <w:numPr>
          <w:ilvl w:val="0"/>
          <w:numId w:val="1"/>
        </w:numPr>
      </w:pPr>
      <w:r>
        <w:t>Rechargeable desired</w:t>
      </w:r>
    </w:p>
    <w:p w:rsidR="0035322D" w:rsidRDefault="0035322D" w:rsidP="0035322D">
      <w:pPr>
        <w:pStyle w:val="ListParagraph"/>
        <w:numPr>
          <w:ilvl w:val="1"/>
          <w:numId w:val="1"/>
        </w:numPr>
      </w:pPr>
      <w:r>
        <w:t>Need to access to replace primary – not desirable</w:t>
      </w:r>
    </w:p>
    <w:p w:rsidR="00A41395" w:rsidRDefault="00A41395" w:rsidP="00A41395">
      <w:pPr>
        <w:pStyle w:val="ListParagraph"/>
        <w:numPr>
          <w:ilvl w:val="0"/>
          <w:numId w:val="1"/>
        </w:numPr>
      </w:pPr>
      <w:r>
        <w:t>Discharge path</w:t>
      </w:r>
    </w:p>
    <w:p w:rsidR="00A41395" w:rsidRDefault="00A41395" w:rsidP="00A41395">
      <w:pPr>
        <w:pStyle w:val="ListParagraph"/>
        <w:numPr>
          <w:ilvl w:val="1"/>
          <w:numId w:val="1"/>
        </w:numPr>
      </w:pPr>
      <w:r>
        <w:t xml:space="preserve">Fail-over without interruption if 48V supply voltage </w:t>
      </w:r>
      <w:r w:rsidR="00974834">
        <w:t>disappears</w:t>
      </w:r>
      <w:r>
        <w:t xml:space="preserve"> </w:t>
      </w:r>
    </w:p>
    <w:p w:rsidR="00A41395" w:rsidRDefault="00A41395" w:rsidP="00A41395">
      <w:pPr>
        <w:pStyle w:val="ListParagraph"/>
        <w:numPr>
          <w:ilvl w:val="1"/>
          <w:numId w:val="1"/>
        </w:numPr>
      </w:pPr>
      <w:r>
        <w:t xml:space="preserve">Comes from </w:t>
      </w:r>
      <w:proofErr w:type="spellStart"/>
      <w:r>
        <w:t>Vicor</w:t>
      </w:r>
      <w:proofErr w:type="spellEnd"/>
      <w:r>
        <w:t xml:space="preserve"> </w:t>
      </w:r>
    </w:p>
    <w:p w:rsidR="00974834" w:rsidRDefault="00A41395" w:rsidP="00A41395">
      <w:pPr>
        <w:pStyle w:val="ListParagraph"/>
        <w:numPr>
          <w:ilvl w:val="1"/>
          <w:numId w:val="1"/>
        </w:numPr>
      </w:pPr>
      <w:r>
        <w:t>Resist</w:t>
      </w:r>
      <w:r w:rsidR="00974834">
        <w:t xml:space="preserve">ive line 100 </w:t>
      </w:r>
      <w:proofErr w:type="spellStart"/>
      <w:r w:rsidR="00974834">
        <w:t>ft</w:t>
      </w:r>
      <w:proofErr w:type="spellEnd"/>
      <w:r w:rsidR="00974834">
        <w:t xml:space="preserve"> of ~20 AWG wire; </w:t>
      </w:r>
    </w:p>
    <w:p w:rsidR="00A41395" w:rsidRDefault="00974834" w:rsidP="00974834">
      <w:pPr>
        <w:pStyle w:val="ListParagraph"/>
        <w:numPr>
          <w:ilvl w:val="2"/>
          <w:numId w:val="1"/>
        </w:numPr>
      </w:pPr>
      <w:r>
        <w:t xml:space="preserve">20 AWG: 33mOhm /m or 10.15 Ohm/ 1000 </w:t>
      </w:r>
      <w:proofErr w:type="spellStart"/>
      <w:r>
        <w:t>ft</w:t>
      </w:r>
      <w:proofErr w:type="spellEnd"/>
    </w:p>
    <w:p w:rsidR="00974834" w:rsidRDefault="00974834" w:rsidP="00974834">
      <w:pPr>
        <w:pStyle w:val="ListParagraph"/>
        <w:numPr>
          <w:ilvl w:val="2"/>
          <w:numId w:val="1"/>
        </w:numPr>
      </w:pPr>
      <w:r>
        <w:t xml:space="preserve">10.15 Ohm /1000 </w:t>
      </w:r>
      <w:proofErr w:type="spellStart"/>
      <w:r>
        <w:t>ft</w:t>
      </w:r>
      <w:proofErr w:type="spellEnd"/>
      <w:r>
        <w:t xml:space="preserve"> * 100 = 1 Ohm per wire</w:t>
      </w:r>
    </w:p>
    <w:p w:rsidR="00974834" w:rsidRDefault="00974834" w:rsidP="00974834">
      <w:pPr>
        <w:pStyle w:val="ListParagraph"/>
        <w:numPr>
          <w:ilvl w:val="2"/>
          <w:numId w:val="1"/>
        </w:numPr>
      </w:pPr>
      <w:r>
        <w:t>1 Ohm * 2 wires = 2 Ohm / pair</w:t>
      </w:r>
    </w:p>
    <w:p w:rsidR="00A41395" w:rsidRDefault="00A41395" w:rsidP="00A41395">
      <w:pPr>
        <w:pStyle w:val="ListParagraph"/>
        <w:numPr>
          <w:ilvl w:val="1"/>
          <w:numId w:val="1"/>
        </w:numPr>
      </w:pPr>
      <w:r>
        <w:t>Some inefficiency in the switch-over is ok</w:t>
      </w:r>
    </w:p>
    <w:p w:rsidR="00A41395" w:rsidRDefault="00A41395" w:rsidP="00A41395">
      <w:pPr>
        <w:pStyle w:val="ListParagraph"/>
        <w:numPr>
          <w:ilvl w:val="0"/>
          <w:numId w:val="1"/>
        </w:numPr>
      </w:pPr>
      <w:r>
        <w:t xml:space="preserve">Charge path: </w:t>
      </w:r>
    </w:p>
    <w:p w:rsidR="00A41395" w:rsidRDefault="00A41395" w:rsidP="00A41395">
      <w:pPr>
        <w:pStyle w:val="ListParagraph"/>
        <w:numPr>
          <w:ilvl w:val="1"/>
          <w:numId w:val="1"/>
        </w:numPr>
      </w:pPr>
      <w:r>
        <w:t>slow is ok; 10s or 100s of hours ok</w:t>
      </w:r>
    </w:p>
    <w:p w:rsidR="00A41395" w:rsidRDefault="00A41395" w:rsidP="00A41395">
      <w:pPr>
        <w:pStyle w:val="ListParagraph"/>
        <w:numPr>
          <w:ilvl w:val="1"/>
          <w:numId w:val="1"/>
        </w:numPr>
      </w:pPr>
      <w:r>
        <w:t>Low quiescent current</w:t>
      </w:r>
    </w:p>
    <w:p w:rsidR="0035322D" w:rsidRDefault="000D3219" w:rsidP="0035322D">
      <w:pPr>
        <w:pStyle w:val="ListParagraph"/>
        <w:numPr>
          <w:ilvl w:val="0"/>
          <w:numId w:val="1"/>
        </w:numPr>
      </w:pPr>
      <w:r>
        <w:t xml:space="preserve">Operation </w:t>
      </w:r>
    </w:p>
    <w:p w:rsidR="000D3219" w:rsidRDefault="000D3219" w:rsidP="000D3219">
      <w:pPr>
        <w:pStyle w:val="ListParagraph"/>
        <w:numPr>
          <w:ilvl w:val="1"/>
          <w:numId w:val="1"/>
        </w:numPr>
      </w:pPr>
      <w:r>
        <w:t>TF Controller needs to know</w:t>
      </w:r>
      <w:r w:rsidR="00974834">
        <w:t xml:space="preserve"> if</w:t>
      </w:r>
      <w:r>
        <w:t xml:space="preserve"> 48V disappeared </w:t>
      </w:r>
    </w:p>
    <w:p w:rsidR="000D3219" w:rsidRDefault="000D3219" w:rsidP="000D3219">
      <w:pPr>
        <w:pStyle w:val="ListParagraph"/>
        <w:numPr>
          <w:ilvl w:val="1"/>
          <w:numId w:val="1"/>
        </w:numPr>
      </w:pPr>
      <w:r>
        <w:t xml:space="preserve">Digital signal? </w:t>
      </w:r>
    </w:p>
    <w:p w:rsidR="000D3219" w:rsidRDefault="000D3219" w:rsidP="000D3219">
      <w:pPr>
        <w:pStyle w:val="ListParagraph"/>
        <w:numPr>
          <w:ilvl w:val="1"/>
          <w:numId w:val="1"/>
        </w:numPr>
      </w:pPr>
      <w:r>
        <w:t xml:space="preserve">Measure voltage? </w:t>
      </w:r>
    </w:p>
    <w:p w:rsidR="00003C98" w:rsidRDefault="00003C98" w:rsidP="000D3219">
      <w:pPr>
        <w:pStyle w:val="ListParagraph"/>
        <w:numPr>
          <w:ilvl w:val="0"/>
          <w:numId w:val="1"/>
        </w:numPr>
      </w:pPr>
      <w:r>
        <w:t xml:space="preserve">Battery disconnect </w:t>
      </w:r>
    </w:p>
    <w:p w:rsidR="000D3219" w:rsidRDefault="00003C98" w:rsidP="00003C98">
      <w:pPr>
        <w:pStyle w:val="ListParagraph"/>
        <w:numPr>
          <w:ilvl w:val="1"/>
          <w:numId w:val="1"/>
        </w:numPr>
      </w:pPr>
      <w:r>
        <w:t>Disconnect by the signal from controller?</w:t>
      </w:r>
    </w:p>
    <w:p w:rsidR="00003C98" w:rsidRDefault="00003C98" w:rsidP="00003C98">
      <w:pPr>
        <w:pStyle w:val="ListParagraph"/>
        <w:numPr>
          <w:ilvl w:val="1"/>
          <w:numId w:val="1"/>
        </w:numPr>
      </w:pPr>
      <w:r>
        <w:t>Low voltage?</w:t>
      </w:r>
    </w:p>
    <w:p w:rsidR="00003C98" w:rsidRDefault="00003C98" w:rsidP="00003C98">
      <w:pPr>
        <w:pStyle w:val="ListParagraph"/>
        <w:numPr>
          <w:ilvl w:val="1"/>
          <w:numId w:val="1"/>
        </w:numPr>
      </w:pPr>
      <w:r>
        <w:t>Reconnect when 48V from tether restored</w:t>
      </w:r>
    </w:p>
    <w:p w:rsidR="00003C98" w:rsidRDefault="00003C98" w:rsidP="00003C98">
      <w:pPr>
        <w:pStyle w:val="ListParagraph"/>
        <w:numPr>
          <w:ilvl w:val="0"/>
          <w:numId w:val="1"/>
        </w:numPr>
      </w:pPr>
      <w:r>
        <w:t>Motor driver disconnect</w:t>
      </w:r>
    </w:p>
    <w:p w:rsidR="00003C98" w:rsidRDefault="00003C98" w:rsidP="00003C98">
      <w:pPr>
        <w:pStyle w:val="ListParagraph"/>
        <w:numPr>
          <w:ilvl w:val="1"/>
          <w:numId w:val="1"/>
        </w:numPr>
      </w:pPr>
      <w:r>
        <w:t>Keep disconnected to reduce quiescent current</w:t>
      </w:r>
    </w:p>
    <w:p w:rsidR="00003C98" w:rsidRDefault="00003C98" w:rsidP="00003C98">
      <w:pPr>
        <w:pStyle w:val="ListParagraph"/>
        <w:numPr>
          <w:ilvl w:val="1"/>
          <w:numId w:val="1"/>
        </w:numPr>
      </w:pPr>
      <w:r>
        <w:t>Activate by the signal from the TF Controller</w:t>
      </w:r>
    </w:p>
    <w:p w:rsidR="00003C98" w:rsidRDefault="00003C98" w:rsidP="00003C98">
      <w:pPr>
        <w:pStyle w:val="ListParagraph"/>
        <w:numPr>
          <w:ilvl w:val="0"/>
          <w:numId w:val="1"/>
        </w:numPr>
      </w:pPr>
      <w:r>
        <w:t xml:space="preserve">TF controller has decent capability for logic  as needed, IOs, </w:t>
      </w:r>
      <w:proofErr w:type="spellStart"/>
      <w:r>
        <w:t>etc</w:t>
      </w:r>
      <w:proofErr w:type="spellEnd"/>
    </w:p>
    <w:p w:rsidR="00B667C9" w:rsidRDefault="00B667C9">
      <w:r>
        <w:br w:type="page"/>
      </w:r>
    </w:p>
    <w:p w:rsidR="00B667C9" w:rsidRDefault="00B667C9" w:rsidP="00B667C9">
      <w:r>
        <w:lastRenderedPageBreak/>
        <w:t xml:space="preserve">Test data on stick capacity as a function of charging voltage applied to the input of </w:t>
      </w:r>
      <w:proofErr w:type="gramStart"/>
      <w:r>
        <w:t>Inspired</w:t>
      </w:r>
      <w:proofErr w:type="gramEnd"/>
      <w:r>
        <w:t xml:space="preserve"> energy controller. Voltage drop across the driver board is not taken into account (not a battery stick voltage). Voltage drop across charging power path ~ 0.2V</w:t>
      </w:r>
    </w:p>
    <w:p w:rsidR="00B667C9" w:rsidRDefault="00B667C9" w:rsidP="00B667C9">
      <w:r>
        <w:t xml:space="preserve">(2017 test data, LRAUV project) </w:t>
      </w:r>
    </w:p>
    <w:tbl>
      <w:tblPr>
        <w:tblW w:w="3720" w:type="dxa"/>
        <w:tblInd w:w="93" w:type="dxa"/>
        <w:tblLook w:val="04A0" w:firstRow="1" w:lastRow="0" w:firstColumn="1" w:lastColumn="0" w:noHBand="0" w:noVBand="1"/>
      </w:tblPr>
      <w:tblGrid>
        <w:gridCol w:w="1900"/>
        <w:gridCol w:w="1820"/>
      </w:tblGrid>
      <w:tr w:rsidR="00B667C9" w:rsidRPr="00FC6DF7" w:rsidTr="004A3D21">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rPr>
                <w:rFonts w:ascii="Calibri" w:eastAsia="Times New Roman" w:hAnsi="Calibri" w:cs="Times New Roman"/>
                <w:color w:val="000000"/>
              </w:rPr>
            </w:pPr>
            <w:r w:rsidRPr="00FC6DF7">
              <w:rPr>
                <w:rFonts w:ascii="Calibri" w:eastAsia="Times New Roman" w:hAnsi="Calibri" w:cs="Times New Roman"/>
                <w:color w:val="000000"/>
              </w:rPr>
              <w:t>Charge Voltage, V</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rPr>
                <w:rFonts w:ascii="Calibri" w:eastAsia="Times New Roman" w:hAnsi="Calibri" w:cs="Times New Roman"/>
                <w:color w:val="000000"/>
              </w:rPr>
            </w:pPr>
            <w:r w:rsidRPr="00FC6DF7">
              <w:rPr>
                <w:rFonts w:ascii="Calibri" w:eastAsia="Times New Roman" w:hAnsi="Calibri" w:cs="Times New Roman"/>
                <w:color w:val="000000"/>
              </w:rPr>
              <w:t>Charge, % capacity</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14</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17</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14</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18.4</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14.5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33.5</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14.5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32</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54.4</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53.3</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15.5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65.6</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15.5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67.9</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16</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81.9</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16</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82.5</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16.5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94.7</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16.5</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95</w:t>
            </w:r>
          </w:p>
        </w:tc>
      </w:tr>
      <w:tr w:rsidR="00B667C9" w:rsidRPr="00FC6DF7" w:rsidTr="004A3D2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16.8</w:t>
            </w:r>
          </w:p>
        </w:tc>
        <w:tc>
          <w:tcPr>
            <w:tcW w:w="1820" w:type="dxa"/>
            <w:tcBorders>
              <w:top w:val="nil"/>
              <w:left w:val="nil"/>
              <w:bottom w:val="single" w:sz="4" w:space="0" w:color="auto"/>
              <w:right w:val="single" w:sz="4" w:space="0" w:color="auto"/>
            </w:tcBorders>
            <w:shd w:val="clear" w:color="auto" w:fill="auto"/>
            <w:noWrap/>
            <w:vAlign w:val="bottom"/>
            <w:hideMark/>
          </w:tcPr>
          <w:p w:rsidR="00B667C9" w:rsidRPr="00FC6DF7" w:rsidRDefault="00B667C9" w:rsidP="004A3D21">
            <w:pPr>
              <w:spacing w:after="0" w:line="240" w:lineRule="auto"/>
              <w:jc w:val="right"/>
              <w:rPr>
                <w:rFonts w:ascii="Calibri" w:eastAsia="Times New Roman" w:hAnsi="Calibri" w:cs="Times New Roman"/>
                <w:color w:val="000000"/>
              </w:rPr>
            </w:pPr>
            <w:r w:rsidRPr="00FC6DF7">
              <w:rPr>
                <w:rFonts w:ascii="Calibri" w:eastAsia="Times New Roman" w:hAnsi="Calibri" w:cs="Times New Roman"/>
                <w:color w:val="000000"/>
              </w:rPr>
              <w:t>100</w:t>
            </w:r>
          </w:p>
        </w:tc>
      </w:tr>
    </w:tbl>
    <w:p w:rsidR="00B667C9" w:rsidRDefault="00B667C9" w:rsidP="00B667C9">
      <w:r>
        <w:rPr>
          <w:noProof/>
        </w:rPr>
        <w:drawing>
          <wp:inline distT="0" distB="0" distL="0" distR="0" wp14:anchorId="2A21603D" wp14:editId="5D75CF29">
            <wp:extent cx="5943600" cy="3870325"/>
            <wp:effectExtent l="0" t="0" r="19050"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67C9" w:rsidRDefault="00B667C9">
      <w:r>
        <w:br w:type="page"/>
      </w:r>
    </w:p>
    <w:p w:rsidR="009440BD" w:rsidRDefault="00D83ED7">
      <w:r>
        <w:lastRenderedPageBreak/>
        <w:t xml:space="preserve">6/6/2018: conceptual design of the backup pack using 3x Inspired Energy 4S1P Lithium-Ion packs, </w:t>
      </w:r>
      <w:r w:rsidRPr="00D83ED7">
        <w:t>ND2034</w:t>
      </w:r>
      <w:r>
        <w:t xml:space="preserve"> series</w:t>
      </w:r>
    </w:p>
    <w:p w:rsidR="009440BD" w:rsidRDefault="009440BD">
      <w:r>
        <w:rPr>
          <w:noProof/>
        </w:rPr>
        <w:drawing>
          <wp:inline distT="0" distB="0" distL="0" distR="0">
            <wp:extent cx="6610350" cy="8353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0350" cy="8353425"/>
                    </a:xfrm>
                    <a:prstGeom prst="rect">
                      <a:avLst/>
                    </a:prstGeom>
                    <a:noFill/>
                    <a:ln>
                      <a:noFill/>
                    </a:ln>
                  </pic:spPr>
                </pic:pic>
              </a:graphicData>
            </a:graphic>
          </wp:inline>
        </w:drawing>
      </w:r>
      <w:r>
        <w:br w:type="page"/>
      </w:r>
    </w:p>
    <w:p w:rsidR="00FC6DF7" w:rsidRDefault="00B667C9">
      <w:proofErr w:type="gramStart"/>
      <w:r>
        <w:lastRenderedPageBreak/>
        <w:t>Testing 6/2018.</w:t>
      </w:r>
      <w:proofErr w:type="gramEnd"/>
      <w:r>
        <w:t xml:space="preserve"> Purpose:  test simplified charging protocol for Inspired Energy “stick”. In particular, how primary protection circuitry would work, in case is DC-DC converter would attempt to overcharge the battery “stick”</w:t>
      </w:r>
      <w:r w:rsidR="009440BD">
        <w:t>.</w:t>
      </w:r>
      <w:r w:rsidR="00DD637A">
        <w:t xml:space="preserve"> The simplified charging protocol is done by connecting lab power supply dire4ctly to the battery terminals, while the Ocean Server board is monitoring the status of the battery “stick”. </w:t>
      </w:r>
      <w:proofErr w:type="gramStart"/>
      <w:r w:rsidR="00DD637A">
        <w:t>The positive of charging path if Ocean Server board is disconnected from the battery “+” terminal.</w:t>
      </w:r>
      <w:proofErr w:type="gramEnd"/>
      <w:r w:rsidR="00DD637A">
        <w:t xml:space="preserve"> </w:t>
      </w:r>
    </w:p>
    <w:p w:rsidR="00FC6DF7" w:rsidRDefault="00FC6DF7">
      <w:r>
        <w:rPr>
          <w:noProof/>
        </w:rPr>
        <w:drawing>
          <wp:inline distT="0" distB="0" distL="0" distR="0" wp14:anchorId="36563685" wp14:editId="24764CFB">
            <wp:extent cx="5638800" cy="35875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3587506"/>
                    </a:xfrm>
                    <a:prstGeom prst="rect">
                      <a:avLst/>
                    </a:prstGeom>
                    <a:noFill/>
                    <a:ln>
                      <a:noFill/>
                    </a:ln>
                  </pic:spPr>
                </pic:pic>
              </a:graphicData>
            </a:graphic>
          </wp:inline>
        </w:drawing>
      </w:r>
    </w:p>
    <w:p w:rsidR="00FC6DF7" w:rsidRDefault="000644CB">
      <w:r>
        <w:t>Test Setup for charging Inspired Energy battery stick using Ocean Server controller</w:t>
      </w:r>
    </w:p>
    <w:p w:rsidR="00FC6DF7" w:rsidRDefault="00FC6DF7">
      <w:r>
        <w:rPr>
          <w:noProof/>
        </w:rPr>
        <w:drawing>
          <wp:inline distT="0" distB="0" distL="0" distR="0">
            <wp:extent cx="5638800" cy="24980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0" cy="2498088"/>
                    </a:xfrm>
                    <a:prstGeom prst="rect">
                      <a:avLst/>
                    </a:prstGeom>
                    <a:noFill/>
                    <a:ln>
                      <a:noFill/>
                    </a:ln>
                  </pic:spPr>
                </pic:pic>
              </a:graphicData>
            </a:graphic>
          </wp:inline>
        </w:drawing>
      </w:r>
    </w:p>
    <w:p w:rsidR="00FC6DF7" w:rsidRDefault="000644CB">
      <w:r>
        <w:t>Inspired energy battery stick with housing open, to monitor each cell group</w:t>
      </w:r>
    </w:p>
    <w:p w:rsidR="00DD637A" w:rsidRDefault="00DD637A">
      <w:r>
        <w:br w:type="page"/>
      </w:r>
    </w:p>
    <w:p w:rsidR="00741987" w:rsidRDefault="00741987">
      <w:r>
        <w:lastRenderedPageBreak/>
        <w:t>06</w:t>
      </w:r>
      <w:r w:rsidR="00D83ED7">
        <w:t>/2018</w:t>
      </w:r>
      <w:r>
        <w:t xml:space="preserve"> test data </w:t>
      </w:r>
    </w:p>
    <w:tbl>
      <w:tblPr>
        <w:tblW w:w="6238" w:type="dxa"/>
        <w:tblInd w:w="93" w:type="dxa"/>
        <w:tblLook w:val="04A0" w:firstRow="1" w:lastRow="0" w:firstColumn="1" w:lastColumn="0" w:noHBand="0" w:noVBand="1"/>
      </w:tblPr>
      <w:tblGrid>
        <w:gridCol w:w="1701"/>
        <w:gridCol w:w="1790"/>
        <w:gridCol w:w="1077"/>
        <w:gridCol w:w="1670"/>
      </w:tblGrid>
      <w:tr w:rsidR="00B667C9" w:rsidRPr="00B667C9" w:rsidTr="00B667C9">
        <w:trPr>
          <w:trHeight w:val="503"/>
        </w:trPr>
        <w:tc>
          <w:tcPr>
            <w:tcW w:w="623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B667C9" w:rsidRPr="00B667C9" w:rsidRDefault="00B667C9" w:rsidP="00B667C9">
            <w:pPr>
              <w:spacing w:after="0" w:line="240" w:lineRule="auto"/>
              <w:jc w:val="center"/>
              <w:rPr>
                <w:rFonts w:ascii="Calibri" w:eastAsia="Times New Roman" w:hAnsi="Calibri" w:cs="Times New Roman"/>
                <w:color w:val="000000"/>
              </w:rPr>
            </w:pPr>
            <w:r w:rsidRPr="00B667C9">
              <w:rPr>
                <w:rFonts w:ascii="Calibri" w:eastAsia="Times New Roman" w:hAnsi="Calibri" w:cs="Times New Roman"/>
                <w:color w:val="000000"/>
              </w:rPr>
              <w:t xml:space="preserve">Charging 6AH battery stick with 0.2V steps, 120mA; ~ 100000 sec (27H) each step; final current ~0.5mA </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rPr>
                <w:rFonts w:ascii="Calibri" w:eastAsia="Times New Roman" w:hAnsi="Calibri" w:cs="Times New Roman"/>
                <w:color w:val="000000"/>
              </w:rPr>
            </w:pPr>
            <w:r w:rsidRPr="00B667C9">
              <w:rPr>
                <w:rFonts w:ascii="Calibri" w:eastAsia="Times New Roman" w:hAnsi="Calibri" w:cs="Times New Roman"/>
                <w:color w:val="000000"/>
              </w:rPr>
              <w:t>Charge Voltage, V</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rPr>
                <w:rFonts w:ascii="Calibri" w:eastAsia="Times New Roman" w:hAnsi="Calibri" w:cs="Times New Roman"/>
                <w:color w:val="000000"/>
              </w:rPr>
            </w:pPr>
            <w:r w:rsidRPr="00B667C9">
              <w:rPr>
                <w:rFonts w:ascii="Calibri" w:eastAsia="Times New Roman" w:hAnsi="Calibri" w:cs="Times New Roman"/>
                <w:color w:val="000000"/>
              </w:rPr>
              <w:t>Charge, % capacity</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rPr>
                <w:rFonts w:ascii="Calibri" w:eastAsia="Times New Roman" w:hAnsi="Calibri" w:cs="Times New Roman"/>
                <w:color w:val="000000"/>
              </w:rPr>
            </w:pPr>
            <w:r w:rsidRPr="00B667C9">
              <w:rPr>
                <w:rFonts w:ascii="Calibri" w:eastAsia="Times New Roman" w:hAnsi="Calibri" w:cs="Times New Roman"/>
                <w:color w:val="000000"/>
              </w:rPr>
              <w:t>Charge, AH</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rPr>
                <w:rFonts w:ascii="Calibri" w:eastAsia="Times New Roman" w:hAnsi="Calibri" w:cs="Times New Roman"/>
                <w:color w:val="000000"/>
              </w:rPr>
            </w:pPr>
            <w:r w:rsidRPr="00B667C9">
              <w:rPr>
                <w:rFonts w:ascii="Calibri" w:eastAsia="Times New Roman" w:hAnsi="Calibri" w:cs="Times New Roman"/>
                <w:color w:val="000000"/>
              </w:rPr>
              <w:t>Voltage, actual, V</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58</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3.44</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15.006</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15.2</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63</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3.79</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15.209</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15.4</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69</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4.14</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15.407</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15.6</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75</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4.53</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15.605</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15.8</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81</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4.88</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15.805</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85</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5.17</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16.007</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16.2</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90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5.44</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16.207</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16.4</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100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6.09</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16.606</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16.6</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100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5.96</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16.607</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16.8</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100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6.1</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16.808</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17</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100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6.1</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17</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17.159</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100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6.1</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17.159</w:t>
            </w:r>
          </w:p>
        </w:tc>
      </w:tr>
      <w:tr w:rsidR="00B667C9" w:rsidRPr="00B667C9" w:rsidTr="00B667C9">
        <w:trPr>
          <w:trHeight w:val="234"/>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17.2</w:t>
            </w:r>
          </w:p>
        </w:tc>
        <w:tc>
          <w:tcPr>
            <w:tcW w:w="179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100</w:t>
            </w:r>
          </w:p>
        </w:tc>
        <w:tc>
          <w:tcPr>
            <w:tcW w:w="1077"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6.1</w:t>
            </w:r>
          </w:p>
        </w:tc>
        <w:tc>
          <w:tcPr>
            <w:tcW w:w="1670" w:type="dxa"/>
            <w:tcBorders>
              <w:top w:val="nil"/>
              <w:left w:val="nil"/>
              <w:bottom w:val="single" w:sz="4" w:space="0" w:color="auto"/>
              <w:right w:val="single" w:sz="4" w:space="0" w:color="auto"/>
            </w:tcBorders>
            <w:shd w:val="clear" w:color="auto" w:fill="auto"/>
            <w:noWrap/>
            <w:vAlign w:val="bottom"/>
            <w:hideMark/>
          </w:tcPr>
          <w:p w:rsidR="00B667C9" w:rsidRPr="00B667C9" w:rsidRDefault="00B667C9" w:rsidP="00B667C9">
            <w:pPr>
              <w:spacing w:after="0" w:line="240" w:lineRule="auto"/>
              <w:jc w:val="right"/>
              <w:rPr>
                <w:rFonts w:ascii="Calibri" w:eastAsia="Times New Roman" w:hAnsi="Calibri" w:cs="Times New Roman"/>
                <w:color w:val="000000"/>
              </w:rPr>
            </w:pPr>
            <w:r w:rsidRPr="00B667C9">
              <w:rPr>
                <w:rFonts w:ascii="Calibri" w:eastAsia="Times New Roman" w:hAnsi="Calibri" w:cs="Times New Roman"/>
                <w:color w:val="000000"/>
              </w:rPr>
              <w:t>16.697</w:t>
            </w:r>
          </w:p>
        </w:tc>
      </w:tr>
      <w:tr w:rsidR="00B667C9" w:rsidRPr="00B667C9" w:rsidTr="00B667C9">
        <w:trPr>
          <w:trHeight w:val="421"/>
        </w:trPr>
        <w:tc>
          <w:tcPr>
            <w:tcW w:w="623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B667C9" w:rsidRPr="00B667C9" w:rsidRDefault="00B667C9" w:rsidP="00B667C9">
            <w:pPr>
              <w:spacing w:after="0" w:line="240" w:lineRule="auto"/>
              <w:rPr>
                <w:rFonts w:ascii="Calibri" w:eastAsia="Times New Roman" w:hAnsi="Calibri" w:cs="Times New Roman"/>
                <w:color w:val="000000"/>
              </w:rPr>
            </w:pPr>
            <w:r w:rsidRPr="00B667C9">
              <w:rPr>
                <w:rFonts w:ascii="Calibri" w:eastAsia="Times New Roman" w:hAnsi="Calibri" w:cs="Times New Roman"/>
                <w:color w:val="000000"/>
              </w:rPr>
              <w:t>Note: primary protection circuitry disconnected cells at 17.2V, preventing further charging</w:t>
            </w:r>
          </w:p>
        </w:tc>
      </w:tr>
    </w:tbl>
    <w:p w:rsidR="00487F9A" w:rsidRDefault="00487F9A">
      <w:pPr>
        <w:rPr>
          <w:noProof/>
        </w:rPr>
      </w:pPr>
      <w:r>
        <w:rPr>
          <w:noProof/>
        </w:rPr>
        <w:drawing>
          <wp:inline distT="0" distB="0" distL="0" distR="0" wp14:anchorId="199EFFC8" wp14:editId="79E7EDD0">
            <wp:extent cx="6438900" cy="314325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053F5" w:rsidRDefault="00A053F5">
      <w:pPr>
        <w:rPr>
          <w:noProof/>
        </w:rPr>
      </w:pPr>
    </w:p>
    <w:p w:rsidR="00487F9A" w:rsidRDefault="00487F9A">
      <w:r>
        <w:rPr>
          <w:noProof/>
        </w:rPr>
        <w:lastRenderedPageBreak/>
        <w:drawing>
          <wp:inline distT="0" distB="0" distL="0" distR="0" wp14:anchorId="479F25E1" wp14:editId="2A1D03D1">
            <wp:extent cx="6076950" cy="28956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A5900" w:rsidRDefault="00CA5900" w:rsidP="00CA5900"/>
    <w:tbl>
      <w:tblPr>
        <w:tblW w:w="9200" w:type="dxa"/>
        <w:tblInd w:w="93" w:type="dxa"/>
        <w:tblLook w:val="04A0" w:firstRow="1" w:lastRow="0" w:firstColumn="1" w:lastColumn="0" w:noHBand="0" w:noVBand="1"/>
      </w:tblPr>
      <w:tblGrid>
        <w:gridCol w:w="1320"/>
        <w:gridCol w:w="1240"/>
        <w:gridCol w:w="1420"/>
        <w:gridCol w:w="1260"/>
        <w:gridCol w:w="1240"/>
        <w:gridCol w:w="1240"/>
        <w:gridCol w:w="1480"/>
      </w:tblGrid>
      <w:tr w:rsidR="00CA5900" w:rsidRPr="00CA5900" w:rsidTr="00CA5900">
        <w:trPr>
          <w:trHeight w:val="645"/>
        </w:trPr>
        <w:tc>
          <w:tcPr>
            <w:tcW w:w="920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jc w:val="center"/>
              <w:rPr>
                <w:rFonts w:ascii="Calibri" w:eastAsia="Times New Roman" w:hAnsi="Calibri" w:cs="Times New Roman"/>
                <w:color w:val="000000"/>
              </w:rPr>
            </w:pPr>
            <w:r w:rsidRPr="00CA5900">
              <w:rPr>
                <w:rFonts w:ascii="Calibri" w:eastAsia="Times New Roman" w:hAnsi="Calibri" w:cs="Times New Roman"/>
                <w:color w:val="000000"/>
              </w:rPr>
              <w:t xml:space="preserve">Voltages across cell-groups of 4s2p battery "stick" NH2034 with ~6AH capacity, while charging with 0.2V </w:t>
            </w:r>
            <w:proofErr w:type="spellStart"/>
            <w:r w:rsidRPr="00CA5900">
              <w:rPr>
                <w:rFonts w:ascii="Calibri" w:eastAsia="Times New Roman" w:hAnsi="Calibri" w:cs="Times New Roman"/>
                <w:color w:val="000000"/>
              </w:rPr>
              <w:t>stapes</w:t>
            </w:r>
            <w:proofErr w:type="spellEnd"/>
            <w:r w:rsidRPr="00CA5900">
              <w:rPr>
                <w:rFonts w:ascii="Calibri" w:eastAsia="Times New Roman" w:hAnsi="Calibri" w:cs="Times New Roman"/>
                <w:color w:val="000000"/>
              </w:rPr>
              <w:t xml:space="preserve"> at 120mA (0.02C rate); ~27H each step; final current ~1 mA </w:t>
            </w:r>
          </w:p>
        </w:tc>
      </w:tr>
      <w:tr w:rsidR="00CA5900" w:rsidRPr="00CA5900" w:rsidTr="00CA5900">
        <w:trPr>
          <w:trHeight w:val="660"/>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Voltage, cell 1, V</w:t>
            </w:r>
          </w:p>
        </w:tc>
        <w:tc>
          <w:tcPr>
            <w:tcW w:w="1240" w:type="dxa"/>
            <w:tcBorders>
              <w:top w:val="nil"/>
              <w:left w:val="nil"/>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Voltage, cell 2, V</w:t>
            </w:r>
          </w:p>
        </w:tc>
        <w:tc>
          <w:tcPr>
            <w:tcW w:w="1420" w:type="dxa"/>
            <w:tcBorders>
              <w:top w:val="nil"/>
              <w:left w:val="nil"/>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Voltage, cell 3, V</w:t>
            </w:r>
          </w:p>
        </w:tc>
        <w:tc>
          <w:tcPr>
            <w:tcW w:w="1260" w:type="dxa"/>
            <w:tcBorders>
              <w:top w:val="nil"/>
              <w:left w:val="nil"/>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Voltage, cell 4, V</w:t>
            </w:r>
          </w:p>
        </w:tc>
        <w:tc>
          <w:tcPr>
            <w:tcW w:w="1240" w:type="dxa"/>
            <w:tcBorders>
              <w:top w:val="nil"/>
              <w:left w:val="nil"/>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 xml:space="preserve">Average, </w:t>
            </w:r>
            <w:proofErr w:type="spellStart"/>
            <w:r w:rsidRPr="00CA5900">
              <w:rPr>
                <w:rFonts w:ascii="Calibri" w:eastAsia="Times New Roman" w:hAnsi="Calibri" w:cs="Times New Roman"/>
                <w:color w:val="000000"/>
              </w:rPr>
              <w:t>voltage,V</w:t>
            </w:r>
            <w:proofErr w:type="spellEnd"/>
          </w:p>
        </w:tc>
        <w:tc>
          <w:tcPr>
            <w:tcW w:w="1240" w:type="dxa"/>
            <w:tcBorders>
              <w:top w:val="nil"/>
              <w:left w:val="nil"/>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Combined voltage, V</w:t>
            </w:r>
          </w:p>
        </w:tc>
        <w:tc>
          <w:tcPr>
            <w:tcW w:w="1480" w:type="dxa"/>
            <w:tcBorders>
              <w:top w:val="nil"/>
              <w:left w:val="nil"/>
              <w:bottom w:val="single" w:sz="4" w:space="0" w:color="auto"/>
              <w:right w:val="single" w:sz="4" w:space="0" w:color="auto"/>
            </w:tcBorders>
            <w:shd w:val="clear" w:color="auto" w:fill="auto"/>
            <w:vAlign w:val="bottom"/>
            <w:hideMark/>
          </w:tcPr>
          <w:p w:rsidR="00CA5900" w:rsidRPr="00CA5900" w:rsidRDefault="00CA5900" w:rsidP="00CA5900">
            <w:pPr>
              <w:spacing w:after="0" w:line="240" w:lineRule="auto"/>
              <w:rPr>
                <w:rFonts w:ascii="Calibri" w:eastAsia="Times New Roman" w:hAnsi="Calibri" w:cs="Times New Roman"/>
                <w:color w:val="000000"/>
              </w:rPr>
            </w:pPr>
            <w:r w:rsidRPr="00CA5900">
              <w:rPr>
                <w:rFonts w:ascii="Calibri" w:eastAsia="Times New Roman" w:hAnsi="Calibri" w:cs="Times New Roman"/>
                <w:color w:val="000000"/>
              </w:rPr>
              <w:t>Max deviation, mV</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3.9517</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3.9538</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3.9545</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3.9544</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3.9536</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15.8144</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1.9</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4.1504</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4.1537</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4.1553</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4.1549</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4.153575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16.6143</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3.175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4.1504</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4.1538</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4.1554</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4.1549</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4.153625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16.6145</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3.225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4.1379</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4.1408</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4.1422</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4.1418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4.140675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16.5627</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2.775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4.1632</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4.1655</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4.1671</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4.1689</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4.166175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16.6647</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2.975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4.1851</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4.1871</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4.1886</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4.1907</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4.187875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16.7515</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2.825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4.2008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4.2018</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4.2034</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4.2045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4.202625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16.8105</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1.875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4.2026</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4.204</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4.2041</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4.2043</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4.20375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16.815</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1.15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4.252</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4.2541</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4.2544</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4.2547</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4.2538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17.0152</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1.8</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4.2522</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4.254</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4.2545</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4.2548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4.253875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17.0155</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1.675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4.288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4.2902</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4.2905</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4.2905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4.2898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17.1592</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1.8</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4.1938</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4.1936</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4.1919</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4.187</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4.191575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16.7663</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4.575</w:t>
            </w:r>
          </w:p>
        </w:tc>
      </w:tr>
      <w:tr w:rsidR="00CA5900" w:rsidRPr="00CA5900" w:rsidTr="00CA5900">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4.2121</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4.2146</w:t>
            </w:r>
          </w:p>
        </w:tc>
        <w:tc>
          <w:tcPr>
            <w:tcW w:w="142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4.215</w:t>
            </w:r>
          </w:p>
        </w:tc>
        <w:tc>
          <w:tcPr>
            <w:tcW w:w="126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4.2161</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4.21445</w:t>
            </w:r>
          </w:p>
        </w:tc>
        <w:tc>
          <w:tcPr>
            <w:tcW w:w="124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16.8578</w:t>
            </w:r>
          </w:p>
        </w:tc>
        <w:tc>
          <w:tcPr>
            <w:tcW w:w="1480" w:type="dxa"/>
            <w:tcBorders>
              <w:top w:val="nil"/>
              <w:left w:val="nil"/>
              <w:bottom w:val="single" w:sz="4" w:space="0" w:color="auto"/>
              <w:right w:val="single" w:sz="4" w:space="0" w:color="auto"/>
            </w:tcBorders>
            <w:shd w:val="clear" w:color="auto" w:fill="auto"/>
            <w:noWrap/>
            <w:vAlign w:val="bottom"/>
            <w:hideMark/>
          </w:tcPr>
          <w:p w:rsidR="00CA5900" w:rsidRPr="00CA5900" w:rsidRDefault="00CA5900" w:rsidP="00CA5900">
            <w:pPr>
              <w:spacing w:after="0" w:line="240" w:lineRule="auto"/>
              <w:jc w:val="right"/>
              <w:rPr>
                <w:rFonts w:ascii="Calibri" w:eastAsia="Times New Roman" w:hAnsi="Calibri" w:cs="Times New Roman"/>
                <w:color w:val="000000"/>
              </w:rPr>
            </w:pPr>
            <w:r w:rsidRPr="00CA5900">
              <w:rPr>
                <w:rFonts w:ascii="Calibri" w:eastAsia="Times New Roman" w:hAnsi="Calibri" w:cs="Times New Roman"/>
                <w:color w:val="000000"/>
              </w:rPr>
              <w:t>2.35</w:t>
            </w:r>
          </w:p>
        </w:tc>
      </w:tr>
    </w:tbl>
    <w:p w:rsidR="00CA5900" w:rsidRDefault="00CA5900" w:rsidP="00CA5900"/>
    <w:p w:rsidR="008928E6" w:rsidRDefault="008928E6"/>
    <w:p w:rsidR="008928E6" w:rsidRDefault="008928E6">
      <w:r>
        <w:br w:type="page"/>
      </w:r>
    </w:p>
    <w:p w:rsidR="008928E6" w:rsidRDefault="008928E6"/>
    <w:p w:rsidR="008928E6" w:rsidRDefault="008928E6" w:rsidP="008928E6">
      <w:pPr>
        <w:rPr>
          <w:noProof/>
        </w:rPr>
      </w:pPr>
    </w:p>
    <w:p w:rsidR="008928E6" w:rsidRDefault="008928E6" w:rsidP="008928E6">
      <w:r>
        <w:rPr>
          <w:noProof/>
        </w:rPr>
        <w:drawing>
          <wp:inline distT="0" distB="0" distL="0" distR="0" wp14:anchorId="4A6FC2A4" wp14:editId="3C8AF68E">
            <wp:extent cx="6848475" cy="4981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8475" cy="4981575"/>
                    </a:xfrm>
                    <a:prstGeom prst="rect">
                      <a:avLst/>
                    </a:prstGeom>
                    <a:noFill/>
                    <a:ln>
                      <a:noFill/>
                    </a:ln>
                  </pic:spPr>
                </pic:pic>
              </a:graphicData>
            </a:graphic>
          </wp:inline>
        </w:drawing>
      </w:r>
    </w:p>
    <w:p w:rsidR="008928E6" w:rsidRDefault="008928E6" w:rsidP="008928E6">
      <w:proofErr w:type="gramStart"/>
      <w:r>
        <w:t>Current step-charge profile, charging from 1</w:t>
      </w:r>
      <w:r w:rsidRPr="008928E6">
        <w:t>6.4</w:t>
      </w:r>
      <w:r>
        <w:t xml:space="preserve"> </w:t>
      </w:r>
      <w:r w:rsidRPr="008928E6">
        <w:t>to</w:t>
      </w:r>
      <w:r>
        <w:t xml:space="preserve"> </w:t>
      </w:r>
      <w:r w:rsidRPr="008928E6">
        <w:t>16.6V</w:t>
      </w:r>
      <w:r>
        <w:t xml:space="preserve"> </w:t>
      </w:r>
      <w:r w:rsidRPr="008928E6">
        <w:t>at</w:t>
      </w:r>
      <w:r>
        <w:t xml:space="preserve"> </w:t>
      </w:r>
      <w:r w:rsidRPr="008928E6">
        <w:t>120mA</w:t>
      </w:r>
      <w:r>
        <w:t>.</w:t>
      </w:r>
      <w:proofErr w:type="gramEnd"/>
      <w:r>
        <w:t xml:space="preserve"> Other profiles within 15 to 16.8V range look similar, except it takes different amount of time to charge the battery by 0.2V </w:t>
      </w:r>
    </w:p>
    <w:p w:rsidR="008928E6" w:rsidRDefault="008928E6" w:rsidP="008928E6"/>
    <w:p w:rsidR="008928E6" w:rsidRDefault="008928E6" w:rsidP="008928E6"/>
    <w:p w:rsidR="008928E6" w:rsidRDefault="008928E6">
      <w:r>
        <w:br w:type="page"/>
      </w:r>
    </w:p>
    <w:p w:rsidR="008928E6" w:rsidRDefault="008928E6"/>
    <w:p w:rsidR="00A053F5" w:rsidRDefault="00A053F5" w:rsidP="00A053F5">
      <w:r>
        <w:t xml:space="preserve">6/2018 testing observations: </w:t>
      </w:r>
    </w:p>
    <w:p w:rsidR="00A053F5" w:rsidRDefault="00A053F5" w:rsidP="00A053F5">
      <w:pPr>
        <w:pStyle w:val="ListParagraph"/>
        <w:numPr>
          <w:ilvl w:val="0"/>
          <w:numId w:val="1"/>
        </w:numPr>
      </w:pPr>
      <w:r>
        <w:t xml:space="preserve">Nominal protection threshold of built-in “primary protection circuitry” is 4.3V across any cell-group, so with good balancing between cell-group, the disconnect would happen at 4.3V x 4 = 17.2V </w:t>
      </w:r>
    </w:p>
    <w:p w:rsidR="00A053F5" w:rsidRDefault="00A053F5" w:rsidP="00A053F5">
      <w:pPr>
        <w:pStyle w:val="ListParagraph"/>
        <w:numPr>
          <w:ilvl w:val="0"/>
          <w:numId w:val="1"/>
        </w:numPr>
      </w:pPr>
      <w:r>
        <w:t xml:space="preserve">Built-in primary protection circuitry disconnected the 4s2p cell string very close to 17.2V, preventing further charging. At this point, the charger voltage allowed to jump further up to max set voltage (in this case, to 17.4V) across battery terminals, while internal string voltage remained close to 17.2, or slowly relaxing down from 17.2V. </w:t>
      </w:r>
    </w:p>
    <w:p w:rsidR="00A053F5" w:rsidRDefault="00A053F5" w:rsidP="00A053F5">
      <w:pPr>
        <w:pStyle w:val="ListParagraph"/>
        <w:numPr>
          <w:ilvl w:val="0"/>
          <w:numId w:val="1"/>
        </w:numPr>
      </w:pPr>
      <w:r>
        <w:t>Battery stick with triggered primary overcharge protection had floating voltage on the terminals ~ 16.7-16.8V (while internal 4s string voltage was higher, ~ 17.1-17.2V)</w:t>
      </w:r>
    </w:p>
    <w:p w:rsidR="00A053F5" w:rsidRDefault="00A053F5" w:rsidP="00A053F5">
      <w:pPr>
        <w:pStyle w:val="ListParagraph"/>
        <w:numPr>
          <w:ilvl w:val="0"/>
          <w:numId w:val="1"/>
        </w:numPr>
      </w:pPr>
      <w:r>
        <w:t xml:space="preserve">Primary protection circuitry allowed immediate transition to discharging a “stick”, with voltage across terminals rising to internal cell string voltage, once legal load was placed across terminals. </w:t>
      </w:r>
    </w:p>
    <w:p w:rsidR="00A053F5" w:rsidRDefault="00A053F5" w:rsidP="00A053F5">
      <w:pPr>
        <w:pStyle w:val="ListParagraph"/>
        <w:numPr>
          <w:ilvl w:val="0"/>
          <w:numId w:val="1"/>
        </w:numPr>
      </w:pPr>
      <w:r>
        <w:t>Before the cell-string voltage dropped below ~ 16.6-16.8V, the protection circuitry “remembered” the overcharge condition, immediately tripping protection with attempt to charge to even to normally-allowable 16.8V voltage level, and immediately transiting back to discharge when load is placed across terminal again</w:t>
      </w:r>
    </w:p>
    <w:p w:rsidR="00A053F5" w:rsidRDefault="00A053F5" w:rsidP="00A053F5">
      <w:pPr>
        <w:pStyle w:val="ListParagraph"/>
        <w:numPr>
          <w:ilvl w:val="0"/>
          <w:numId w:val="1"/>
        </w:numPr>
      </w:pPr>
      <w:r>
        <w:t>Cell-group voltage balancing remained within 5mV max deviation from average within  15.8-17.2V string-voltage interval</w:t>
      </w:r>
    </w:p>
    <w:p w:rsidR="00A053F5" w:rsidRDefault="00A053F5" w:rsidP="00A053F5">
      <w:pPr>
        <w:pStyle w:val="ListParagraph"/>
        <w:numPr>
          <w:ilvl w:val="0"/>
          <w:numId w:val="1"/>
        </w:numPr>
      </w:pPr>
      <w:r>
        <w:t xml:space="preserve">Proposed / desirable un-monitored maximum charge voltage in under 16.5V, anywhere between 15 and 16.5V, depending on desirable charge level, and available DC-DC converters. </w:t>
      </w:r>
    </w:p>
    <w:p w:rsidR="00A053F5" w:rsidRDefault="00A053F5" w:rsidP="00A053F5"/>
    <w:p w:rsidR="008928E6" w:rsidRDefault="000951D2" w:rsidP="009D2C07">
      <w:pPr>
        <w:spacing w:after="0" w:line="240" w:lineRule="auto"/>
      </w:pPr>
      <w:r>
        <w:t>8/9/2018 ordering battery “sticks”</w:t>
      </w:r>
    </w:p>
    <w:p w:rsidR="000951D2" w:rsidRDefault="000951D2" w:rsidP="009D2C07">
      <w:pPr>
        <w:spacing w:after="0" w:line="240" w:lineRule="auto"/>
      </w:pPr>
      <w:r>
        <w:t>Inspired Energy, LLC</w:t>
      </w:r>
    </w:p>
    <w:p w:rsidR="000951D2" w:rsidRDefault="000951D2" w:rsidP="009D2C07">
      <w:pPr>
        <w:spacing w:after="0" w:line="240" w:lineRule="auto"/>
      </w:pPr>
      <w:r>
        <w:t>25440 NW 8th Place, Newberry, FL 32669 USA</w:t>
      </w:r>
    </w:p>
    <w:p w:rsidR="000951D2" w:rsidRDefault="000951D2" w:rsidP="009D2C07">
      <w:pPr>
        <w:spacing w:after="0" w:line="240" w:lineRule="auto"/>
      </w:pPr>
      <w:r>
        <w:t>P: 352-472-4855</w:t>
      </w:r>
    </w:p>
    <w:p w:rsidR="000951D2" w:rsidRDefault="000951D2" w:rsidP="009D2C07">
      <w:pPr>
        <w:spacing w:after="0" w:line="240" w:lineRule="auto"/>
      </w:pPr>
      <w:r>
        <w:t>Toll Free: 888-546-7747</w:t>
      </w:r>
    </w:p>
    <w:p w:rsidR="00741987" w:rsidRDefault="001C5363" w:rsidP="009D2C07">
      <w:pPr>
        <w:spacing w:after="0" w:line="240" w:lineRule="auto"/>
      </w:pPr>
      <w:r w:rsidRPr="001C5363">
        <w:t>ND2034HD34 – 3.4Ah / 49Wh</w:t>
      </w:r>
    </w:p>
    <w:p w:rsidR="009D2C07" w:rsidRDefault="009D2C07" w:rsidP="009D2C07">
      <w:pPr>
        <w:spacing w:after="0" w:line="240" w:lineRule="auto"/>
      </w:pPr>
    </w:p>
    <w:p w:rsidR="009D2C07" w:rsidRDefault="009D2C07" w:rsidP="009D2C07">
      <w:pPr>
        <w:spacing w:after="0" w:line="240" w:lineRule="auto"/>
      </w:pPr>
      <w:r>
        <w:t xml:space="preserve">8/10/2018 </w:t>
      </w:r>
    </w:p>
    <w:p w:rsidR="003F7386" w:rsidRDefault="003F7386" w:rsidP="009D2C07">
      <w:pPr>
        <w:spacing w:after="0" w:line="240" w:lineRule="auto"/>
      </w:pPr>
      <w:r>
        <w:t>352-472-4855</w:t>
      </w:r>
      <w:r w:rsidR="009D2C07">
        <w:t xml:space="preserve"> x0 customer service </w:t>
      </w:r>
    </w:p>
    <w:p w:rsidR="003F7386" w:rsidRDefault="003F7386" w:rsidP="009D2C07">
      <w:pPr>
        <w:spacing w:after="0" w:line="240" w:lineRule="auto"/>
      </w:pPr>
      <w:proofErr w:type="gramStart"/>
      <w:r>
        <w:t>Brenda</w:t>
      </w:r>
      <w:r w:rsidR="00D557F8">
        <w:t xml:space="preserve"> Sellers</w:t>
      </w:r>
      <w:r>
        <w:t xml:space="preserve"> customer service</w:t>
      </w:r>
      <w:bookmarkStart w:id="0" w:name="_GoBack"/>
      <w:r>
        <w:t>.</w:t>
      </w:r>
      <w:proofErr w:type="gramEnd"/>
      <w:r>
        <w:t xml:space="preserve"> </w:t>
      </w:r>
      <w:r w:rsidRPr="001C5363">
        <w:t>ND2034HD34</w:t>
      </w:r>
      <w:bookmarkEnd w:id="0"/>
      <w:r>
        <w:t xml:space="preserve">? </w:t>
      </w:r>
    </w:p>
    <w:p w:rsidR="003F7386" w:rsidRDefault="003F7386" w:rsidP="009D2C07">
      <w:pPr>
        <w:spacing w:after="0" w:line="240" w:lineRule="auto"/>
      </w:pPr>
      <w:proofErr w:type="gramStart"/>
      <w:r>
        <w:t>$107.40 + shipping.</w:t>
      </w:r>
      <w:proofErr w:type="gramEnd"/>
      <w:r>
        <w:t xml:space="preserve"> Lead time 5-6 weeks regular lead time; 6 weeks now trying for smaller orders (12 weeks larger orders); due to restructuring and high demand.  Quantity discount for 12: $86.4each + shipping </w:t>
      </w:r>
    </w:p>
    <w:p w:rsidR="003F7386" w:rsidRDefault="009D2C07" w:rsidP="009D2C07">
      <w:pPr>
        <w:spacing w:after="0" w:line="240" w:lineRule="auto"/>
      </w:pPr>
      <w:r>
        <w:t xml:space="preserve">PO to </w:t>
      </w:r>
      <w:hyperlink r:id="rId15" w:history="1">
        <w:r w:rsidR="003F7386" w:rsidRPr="001F43BF">
          <w:rPr>
            <w:rStyle w:val="Hyperlink"/>
          </w:rPr>
          <w:t>Customer.service@inspired-energy.com</w:t>
        </w:r>
      </w:hyperlink>
      <w:r w:rsidR="003F7386">
        <w:t xml:space="preserve"> </w:t>
      </w:r>
    </w:p>
    <w:p w:rsidR="009D2C07" w:rsidRDefault="009D2C07" w:rsidP="009D2C07">
      <w:pPr>
        <w:spacing w:after="0" w:line="240" w:lineRule="auto"/>
      </w:pPr>
      <w:r>
        <w:t xml:space="preserve">7700 </w:t>
      </w:r>
      <w:proofErr w:type="spellStart"/>
      <w:r>
        <w:t>Sandholdt</w:t>
      </w:r>
      <w:proofErr w:type="spellEnd"/>
      <w:r>
        <w:t xml:space="preserve"> Rd. Moss Landing CA 95076 </w:t>
      </w:r>
    </w:p>
    <w:p w:rsidR="009D2C07" w:rsidRDefault="009D2C07" w:rsidP="009D2C07">
      <w:pPr>
        <w:spacing w:after="0" w:line="240" w:lineRule="auto"/>
      </w:pPr>
      <w:r>
        <w:t>831-775-1914</w:t>
      </w:r>
    </w:p>
    <w:p w:rsidR="009D2C07" w:rsidRDefault="009D2C07" w:rsidP="009D2C07">
      <w:pPr>
        <w:spacing w:after="0" w:line="240" w:lineRule="auto"/>
      </w:pPr>
      <w:r>
        <w:t xml:space="preserve">$107.40 x 6 </w:t>
      </w:r>
    </w:p>
    <w:p w:rsidR="009D2C07" w:rsidRDefault="009D2C07" w:rsidP="009D2C07">
      <w:pPr>
        <w:spacing w:after="0" w:line="240" w:lineRule="auto"/>
      </w:pPr>
      <w:hyperlink r:id="rId16" w:history="1">
        <w:r w:rsidRPr="001F43BF">
          <w:rPr>
            <w:rStyle w:val="Hyperlink"/>
          </w:rPr>
          <w:t>Klimov@mbari.org</w:t>
        </w:r>
      </w:hyperlink>
      <w:r>
        <w:t xml:space="preserve"> </w:t>
      </w:r>
    </w:p>
    <w:p w:rsidR="009D2C07" w:rsidRDefault="009D2C07" w:rsidP="009D2C07">
      <w:pPr>
        <w:spacing w:after="0" w:line="240" w:lineRule="auto"/>
      </w:pPr>
      <w:r>
        <w:t>Send the PO number</w:t>
      </w:r>
      <w:r w:rsidR="005454E4">
        <w:t xml:space="preserve"> when approved</w:t>
      </w:r>
      <w:proofErr w:type="gramStart"/>
      <w:r w:rsidR="005454E4">
        <w:t xml:space="preserve">, </w:t>
      </w:r>
      <w:r>
        <w:t xml:space="preserve"> will</w:t>
      </w:r>
      <w:proofErr w:type="gramEnd"/>
      <w:r>
        <w:t xml:space="preserve"> be added to the order system. </w:t>
      </w:r>
    </w:p>
    <w:p w:rsidR="00487F9A" w:rsidRDefault="00487F9A" w:rsidP="009D2C07">
      <w:pPr>
        <w:spacing w:after="0" w:line="240" w:lineRule="auto"/>
      </w:pPr>
    </w:p>
    <w:p w:rsidR="00487F9A" w:rsidRDefault="00487F9A"/>
    <w:p w:rsidR="00487F9A" w:rsidRDefault="00487F9A"/>
    <w:sectPr w:rsidR="00487F9A" w:rsidSect="000644CB">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4CB" w:rsidRDefault="000644CB" w:rsidP="000644CB">
      <w:pPr>
        <w:spacing w:after="0" w:line="240" w:lineRule="auto"/>
      </w:pPr>
      <w:r>
        <w:separator/>
      </w:r>
    </w:p>
  </w:endnote>
  <w:endnote w:type="continuationSeparator" w:id="0">
    <w:p w:rsidR="000644CB" w:rsidRDefault="000644CB" w:rsidP="00064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CB" w:rsidRDefault="000644CB" w:rsidP="000644CB">
    <w:pPr>
      <w:pStyle w:val="Footer"/>
      <w:jc w:val="center"/>
    </w:pPr>
    <w:r>
      <w:fldChar w:fldCharType="begin"/>
    </w:r>
    <w:r>
      <w:instrText xml:space="preserve"> PAGE   \* MERGEFORMAT </w:instrText>
    </w:r>
    <w:r>
      <w:fldChar w:fldCharType="separate"/>
    </w:r>
    <w:r w:rsidR="00FE4B95">
      <w:rPr>
        <w:noProof/>
      </w:rPr>
      <w:t>8</w:t>
    </w:r>
    <w:r>
      <w:fldChar w:fldCharType="end"/>
    </w:r>
    <w:r>
      <w:t xml:space="preserve"> of </w:t>
    </w:r>
    <w:fldSimple w:instr=" NUMPAGES   \* MERGEFORMAT ">
      <w:r w:rsidR="00FE4B95">
        <w:rPr>
          <w:noProof/>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4CB" w:rsidRDefault="000644CB" w:rsidP="000644CB">
      <w:pPr>
        <w:spacing w:after="0" w:line="240" w:lineRule="auto"/>
      </w:pPr>
      <w:r>
        <w:separator/>
      </w:r>
    </w:p>
  </w:footnote>
  <w:footnote w:type="continuationSeparator" w:id="0">
    <w:p w:rsidR="000644CB" w:rsidRDefault="000644CB" w:rsidP="00064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CB" w:rsidRDefault="001C5363">
    <w:pPr>
      <w:pStyle w:val="Header"/>
    </w:pPr>
    <w:fldSimple w:instr=" FILENAME   \* MERGEFORMAT ">
      <w:r w:rsidR="00220F3F">
        <w:rPr>
          <w:noProof/>
        </w:rPr>
        <w:t>Design-Notes-1.docx</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F4D98"/>
    <w:multiLevelType w:val="hybridMultilevel"/>
    <w:tmpl w:val="7152DCA2"/>
    <w:lvl w:ilvl="0" w:tplc="E35C024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081"/>
    <w:rsid w:val="00003C98"/>
    <w:rsid w:val="000644CB"/>
    <w:rsid w:val="000951D2"/>
    <w:rsid w:val="000D3219"/>
    <w:rsid w:val="001C17BC"/>
    <w:rsid w:val="001C5363"/>
    <w:rsid w:val="00220F3F"/>
    <w:rsid w:val="00276081"/>
    <w:rsid w:val="0035322D"/>
    <w:rsid w:val="003B758B"/>
    <w:rsid w:val="003C4C70"/>
    <w:rsid w:val="003F088B"/>
    <w:rsid w:val="003F7386"/>
    <w:rsid w:val="00487F9A"/>
    <w:rsid w:val="005454E4"/>
    <w:rsid w:val="00741987"/>
    <w:rsid w:val="008928E6"/>
    <w:rsid w:val="009440BD"/>
    <w:rsid w:val="00963FDC"/>
    <w:rsid w:val="00974834"/>
    <w:rsid w:val="009D2C07"/>
    <w:rsid w:val="00A053F5"/>
    <w:rsid w:val="00A41395"/>
    <w:rsid w:val="00B667C9"/>
    <w:rsid w:val="00CA5900"/>
    <w:rsid w:val="00D557F8"/>
    <w:rsid w:val="00D83ED7"/>
    <w:rsid w:val="00DD637A"/>
    <w:rsid w:val="00FC6DF7"/>
    <w:rsid w:val="00FE4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395"/>
    <w:pPr>
      <w:ind w:left="720"/>
      <w:contextualSpacing/>
    </w:pPr>
  </w:style>
  <w:style w:type="paragraph" w:styleId="BalloonText">
    <w:name w:val="Balloon Text"/>
    <w:basedOn w:val="Normal"/>
    <w:link w:val="BalloonTextChar"/>
    <w:uiPriority w:val="99"/>
    <w:semiHidden/>
    <w:unhideWhenUsed/>
    <w:rsid w:val="00FC6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DF7"/>
    <w:rPr>
      <w:rFonts w:ascii="Tahoma" w:hAnsi="Tahoma" w:cs="Tahoma"/>
      <w:sz w:val="16"/>
      <w:szCs w:val="16"/>
    </w:rPr>
  </w:style>
  <w:style w:type="paragraph" w:styleId="Header">
    <w:name w:val="header"/>
    <w:basedOn w:val="Normal"/>
    <w:link w:val="HeaderChar"/>
    <w:uiPriority w:val="99"/>
    <w:unhideWhenUsed/>
    <w:rsid w:val="00064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4CB"/>
  </w:style>
  <w:style w:type="paragraph" w:styleId="Footer">
    <w:name w:val="footer"/>
    <w:basedOn w:val="Normal"/>
    <w:link w:val="FooterChar"/>
    <w:uiPriority w:val="99"/>
    <w:unhideWhenUsed/>
    <w:rsid w:val="00064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4CB"/>
  </w:style>
  <w:style w:type="character" w:styleId="Hyperlink">
    <w:name w:val="Hyperlink"/>
    <w:basedOn w:val="DefaultParagraphFont"/>
    <w:uiPriority w:val="99"/>
    <w:unhideWhenUsed/>
    <w:rsid w:val="003F73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395"/>
    <w:pPr>
      <w:ind w:left="720"/>
      <w:contextualSpacing/>
    </w:pPr>
  </w:style>
  <w:style w:type="paragraph" w:styleId="BalloonText">
    <w:name w:val="Balloon Text"/>
    <w:basedOn w:val="Normal"/>
    <w:link w:val="BalloonTextChar"/>
    <w:uiPriority w:val="99"/>
    <w:semiHidden/>
    <w:unhideWhenUsed/>
    <w:rsid w:val="00FC6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DF7"/>
    <w:rPr>
      <w:rFonts w:ascii="Tahoma" w:hAnsi="Tahoma" w:cs="Tahoma"/>
      <w:sz w:val="16"/>
      <w:szCs w:val="16"/>
    </w:rPr>
  </w:style>
  <w:style w:type="paragraph" w:styleId="Header">
    <w:name w:val="header"/>
    <w:basedOn w:val="Normal"/>
    <w:link w:val="HeaderChar"/>
    <w:uiPriority w:val="99"/>
    <w:unhideWhenUsed/>
    <w:rsid w:val="00064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4CB"/>
  </w:style>
  <w:style w:type="paragraph" w:styleId="Footer">
    <w:name w:val="footer"/>
    <w:basedOn w:val="Normal"/>
    <w:link w:val="FooterChar"/>
    <w:uiPriority w:val="99"/>
    <w:unhideWhenUsed/>
    <w:rsid w:val="00064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4CB"/>
  </w:style>
  <w:style w:type="character" w:styleId="Hyperlink">
    <w:name w:val="Hyperlink"/>
    <w:basedOn w:val="DefaultParagraphFont"/>
    <w:uiPriority w:val="99"/>
    <w:unhideWhenUsed/>
    <w:rsid w:val="003F73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2235">
      <w:bodyDiv w:val="1"/>
      <w:marLeft w:val="0"/>
      <w:marRight w:val="0"/>
      <w:marTop w:val="0"/>
      <w:marBottom w:val="0"/>
      <w:divBdr>
        <w:top w:val="none" w:sz="0" w:space="0" w:color="auto"/>
        <w:left w:val="none" w:sz="0" w:space="0" w:color="auto"/>
        <w:bottom w:val="none" w:sz="0" w:space="0" w:color="auto"/>
        <w:right w:val="none" w:sz="0" w:space="0" w:color="auto"/>
      </w:divBdr>
    </w:div>
    <w:div w:id="201359269">
      <w:bodyDiv w:val="1"/>
      <w:marLeft w:val="0"/>
      <w:marRight w:val="0"/>
      <w:marTop w:val="0"/>
      <w:marBottom w:val="0"/>
      <w:divBdr>
        <w:top w:val="none" w:sz="0" w:space="0" w:color="auto"/>
        <w:left w:val="none" w:sz="0" w:space="0" w:color="auto"/>
        <w:bottom w:val="none" w:sz="0" w:space="0" w:color="auto"/>
        <w:right w:val="none" w:sz="0" w:space="0" w:color="auto"/>
      </w:divBdr>
    </w:div>
    <w:div w:id="950667992">
      <w:bodyDiv w:val="1"/>
      <w:marLeft w:val="0"/>
      <w:marRight w:val="0"/>
      <w:marTop w:val="0"/>
      <w:marBottom w:val="0"/>
      <w:divBdr>
        <w:top w:val="none" w:sz="0" w:space="0" w:color="auto"/>
        <w:left w:val="none" w:sz="0" w:space="0" w:color="auto"/>
        <w:bottom w:val="none" w:sz="0" w:space="0" w:color="auto"/>
        <w:right w:val="none" w:sz="0" w:space="0" w:color="auto"/>
      </w:divBdr>
    </w:div>
    <w:div w:id="1605723277">
      <w:bodyDiv w:val="1"/>
      <w:marLeft w:val="0"/>
      <w:marRight w:val="0"/>
      <w:marTop w:val="0"/>
      <w:marBottom w:val="0"/>
      <w:divBdr>
        <w:top w:val="none" w:sz="0" w:space="0" w:color="auto"/>
        <w:left w:val="none" w:sz="0" w:space="0" w:color="auto"/>
        <w:bottom w:val="none" w:sz="0" w:space="0" w:color="auto"/>
        <w:right w:val="none" w:sz="0" w:space="0" w:color="auto"/>
      </w:divBdr>
    </w:div>
    <w:div w:id="205411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limov@mbari.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Customer.service@inspired-energy.com"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atlas.shore.mbari.org\klimov\OrCAD%20Projects\Power-Buoy\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strRef>
              <c:f>Sheet1!$B$1</c:f>
              <c:strCache>
                <c:ptCount val="1"/>
                <c:pt idx="0">
                  <c:v>Charge, % capacity</c:v>
                </c:pt>
              </c:strCache>
            </c:strRef>
          </c:tx>
          <c:spPr>
            <a:ln w="28575">
              <a:noFill/>
            </a:ln>
          </c:spPr>
          <c:trendline>
            <c:trendlineType val="poly"/>
            <c:order val="3"/>
            <c:dispRSqr val="0"/>
            <c:dispEq val="0"/>
          </c:trendline>
          <c:xVal>
            <c:numRef>
              <c:f>Sheet1!$A$2:$A$14</c:f>
              <c:numCache>
                <c:formatCode>General</c:formatCode>
                <c:ptCount val="13"/>
                <c:pt idx="0">
                  <c:v>14</c:v>
                </c:pt>
                <c:pt idx="1">
                  <c:v>14</c:v>
                </c:pt>
                <c:pt idx="2">
                  <c:v>14.5</c:v>
                </c:pt>
                <c:pt idx="3">
                  <c:v>14.5</c:v>
                </c:pt>
                <c:pt idx="4">
                  <c:v>15</c:v>
                </c:pt>
                <c:pt idx="5">
                  <c:v>15</c:v>
                </c:pt>
                <c:pt idx="6">
                  <c:v>15.5</c:v>
                </c:pt>
                <c:pt idx="7">
                  <c:v>15.5</c:v>
                </c:pt>
                <c:pt idx="8">
                  <c:v>16</c:v>
                </c:pt>
                <c:pt idx="9">
                  <c:v>16</c:v>
                </c:pt>
                <c:pt idx="10">
                  <c:v>16.5</c:v>
                </c:pt>
                <c:pt idx="11">
                  <c:v>16.5</c:v>
                </c:pt>
                <c:pt idx="12">
                  <c:v>16.8</c:v>
                </c:pt>
              </c:numCache>
            </c:numRef>
          </c:xVal>
          <c:yVal>
            <c:numRef>
              <c:f>Sheet1!$B$2:$B$14</c:f>
              <c:numCache>
                <c:formatCode>General</c:formatCode>
                <c:ptCount val="13"/>
                <c:pt idx="0">
                  <c:v>17</c:v>
                </c:pt>
                <c:pt idx="1">
                  <c:v>18.399999999999999</c:v>
                </c:pt>
                <c:pt idx="2">
                  <c:v>33.5</c:v>
                </c:pt>
                <c:pt idx="3">
                  <c:v>32</c:v>
                </c:pt>
                <c:pt idx="4">
                  <c:v>54.4</c:v>
                </c:pt>
                <c:pt idx="5">
                  <c:v>53.3</c:v>
                </c:pt>
                <c:pt idx="6">
                  <c:v>65.599999999999994</c:v>
                </c:pt>
                <c:pt idx="7">
                  <c:v>67.900000000000006</c:v>
                </c:pt>
                <c:pt idx="8">
                  <c:v>81.900000000000006</c:v>
                </c:pt>
                <c:pt idx="9">
                  <c:v>82.5</c:v>
                </c:pt>
                <c:pt idx="10">
                  <c:v>94.7</c:v>
                </c:pt>
                <c:pt idx="11">
                  <c:v>95</c:v>
                </c:pt>
                <c:pt idx="12">
                  <c:v>100</c:v>
                </c:pt>
              </c:numCache>
            </c:numRef>
          </c:yVal>
          <c:smooth val="0"/>
        </c:ser>
        <c:dLbls>
          <c:showLegendKey val="0"/>
          <c:showVal val="0"/>
          <c:showCatName val="0"/>
          <c:showSerName val="0"/>
          <c:showPercent val="0"/>
          <c:showBubbleSize val="0"/>
        </c:dLbls>
        <c:axId val="47168128"/>
        <c:axId val="48018176"/>
      </c:scatterChart>
      <c:valAx>
        <c:axId val="47168128"/>
        <c:scaling>
          <c:orientation val="minMax"/>
          <c:max val="17"/>
          <c:min val="13"/>
        </c:scaling>
        <c:delete val="0"/>
        <c:axPos val="b"/>
        <c:title>
          <c:tx>
            <c:strRef>
              <c:f>Sheet1!$A$1</c:f>
              <c:strCache>
                <c:ptCount val="1"/>
                <c:pt idx="0">
                  <c:v>Charge Voltage, V</c:v>
                </c:pt>
              </c:strCache>
            </c:strRef>
          </c:tx>
          <c:layout/>
          <c:overlay val="0"/>
        </c:title>
        <c:numFmt formatCode="General" sourceLinked="1"/>
        <c:majorTickMark val="none"/>
        <c:minorTickMark val="none"/>
        <c:tickLblPos val="nextTo"/>
        <c:crossAx val="48018176"/>
        <c:crosses val="autoZero"/>
        <c:crossBetween val="midCat"/>
      </c:valAx>
      <c:valAx>
        <c:axId val="48018176"/>
        <c:scaling>
          <c:orientation val="minMax"/>
        </c:scaling>
        <c:delete val="0"/>
        <c:axPos val="l"/>
        <c:majorGridlines/>
        <c:title>
          <c:tx>
            <c:strRef>
              <c:f>Sheet1!$B$1</c:f>
              <c:strCache>
                <c:ptCount val="1"/>
                <c:pt idx="0">
                  <c:v>Charge, % capacity</c:v>
                </c:pt>
              </c:strCache>
            </c:strRef>
          </c:tx>
          <c:layout/>
          <c:overlay val="0"/>
        </c:title>
        <c:numFmt formatCode="General" sourceLinked="1"/>
        <c:majorTickMark val="none"/>
        <c:minorTickMark val="none"/>
        <c:tickLblPos val="nextTo"/>
        <c:crossAx val="47168128"/>
        <c:crosses val="autoZero"/>
        <c:crossBetween val="midCat"/>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strRef>
              <c:f>Sheet1!$B$2</c:f>
              <c:strCache>
                <c:ptCount val="1"/>
                <c:pt idx="0">
                  <c:v>Charge, % capacity</c:v>
                </c:pt>
              </c:strCache>
            </c:strRef>
          </c:tx>
          <c:spPr>
            <a:ln w="28575">
              <a:noFill/>
            </a:ln>
          </c:spPr>
          <c:trendline>
            <c:trendlineType val="poly"/>
            <c:order val="3"/>
            <c:dispRSqr val="0"/>
            <c:dispEq val="0"/>
          </c:trendline>
          <c:xVal>
            <c:numRef>
              <c:f>Sheet1!$A$3:$A$15</c:f>
              <c:numCache>
                <c:formatCode>General</c:formatCode>
                <c:ptCount val="13"/>
                <c:pt idx="0">
                  <c:v>15</c:v>
                </c:pt>
                <c:pt idx="1">
                  <c:v>15.2</c:v>
                </c:pt>
                <c:pt idx="2">
                  <c:v>15.4</c:v>
                </c:pt>
                <c:pt idx="3">
                  <c:v>15.6</c:v>
                </c:pt>
                <c:pt idx="4">
                  <c:v>15.8</c:v>
                </c:pt>
                <c:pt idx="5">
                  <c:v>16</c:v>
                </c:pt>
                <c:pt idx="6">
                  <c:v>16.2</c:v>
                </c:pt>
                <c:pt idx="7">
                  <c:v>16.399999999999999</c:v>
                </c:pt>
                <c:pt idx="8">
                  <c:v>16.600000000000001</c:v>
                </c:pt>
                <c:pt idx="9">
                  <c:v>16.8</c:v>
                </c:pt>
                <c:pt idx="10">
                  <c:v>17</c:v>
                </c:pt>
                <c:pt idx="11">
                  <c:v>17.158999999999999</c:v>
                </c:pt>
                <c:pt idx="12">
                  <c:v>17.2</c:v>
                </c:pt>
              </c:numCache>
            </c:numRef>
          </c:xVal>
          <c:yVal>
            <c:numRef>
              <c:f>Sheet1!$B$3:$B$15</c:f>
              <c:numCache>
                <c:formatCode>General</c:formatCode>
                <c:ptCount val="13"/>
                <c:pt idx="0">
                  <c:v>58</c:v>
                </c:pt>
                <c:pt idx="1">
                  <c:v>63</c:v>
                </c:pt>
                <c:pt idx="2">
                  <c:v>69</c:v>
                </c:pt>
                <c:pt idx="3">
                  <c:v>75</c:v>
                </c:pt>
                <c:pt idx="4">
                  <c:v>81</c:v>
                </c:pt>
                <c:pt idx="5">
                  <c:v>85</c:v>
                </c:pt>
                <c:pt idx="6">
                  <c:v>90</c:v>
                </c:pt>
                <c:pt idx="7">
                  <c:v>100</c:v>
                </c:pt>
                <c:pt idx="8">
                  <c:v>100</c:v>
                </c:pt>
                <c:pt idx="9">
                  <c:v>100</c:v>
                </c:pt>
                <c:pt idx="10">
                  <c:v>100</c:v>
                </c:pt>
                <c:pt idx="11">
                  <c:v>100</c:v>
                </c:pt>
                <c:pt idx="12">
                  <c:v>100</c:v>
                </c:pt>
              </c:numCache>
            </c:numRef>
          </c:yVal>
          <c:smooth val="0"/>
        </c:ser>
        <c:dLbls>
          <c:showLegendKey val="0"/>
          <c:showVal val="0"/>
          <c:showCatName val="0"/>
          <c:showSerName val="0"/>
          <c:showPercent val="0"/>
          <c:showBubbleSize val="0"/>
        </c:dLbls>
        <c:axId val="48043904"/>
        <c:axId val="48087040"/>
      </c:scatterChart>
      <c:valAx>
        <c:axId val="48043904"/>
        <c:scaling>
          <c:orientation val="minMax"/>
        </c:scaling>
        <c:delete val="0"/>
        <c:axPos val="b"/>
        <c:title>
          <c:tx>
            <c:strRef>
              <c:f>Sheet1!$A$2</c:f>
              <c:strCache>
                <c:ptCount val="1"/>
                <c:pt idx="0">
                  <c:v>Charge Voltage, V</c:v>
                </c:pt>
              </c:strCache>
            </c:strRef>
          </c:tx>
          <c:layout/>
          <c:overlay val="0"/>
        </c:title>
        <c:numFmt formatCode="General" sourceLinked="1"/>
        <c:majorTickMark val="none"/>
        <c:minorTickMark val="none"/>
        <c:tickLblPos val="nextTo"/>
        <c:crossAx val="48087040"/>
        <c:crosses val="autoZero"/>
        <c:crossBetween val="midCat"/>
      </c:valAx>
      <c:valAx>
        <c:axId val="48087040"/>
        <c:scaling>
          <c:orientation val="minMax"/>
        </c:scaling>
        <c:delete val="0"/>
        <c:axPos val="l"/>
        <c:majorGridlines/>
        <c:title>
          <c:tx>
            <c:strRef>
              <c:f>Sheet1!$B$2</c:f>
              <c:strCache>
                <c:ptCount val="1"/>
                <c:pt idx="0">
                  <c:v>Charge, % capacity</c:v>
                </c:pt>
              </c:strCache>
            </c:strRef>
          </c:tx>
          <c:layout/>
          <c:overlay val="0"/>
        </c:title>
        <c:numFmt formatCode="General" sourceLinked="1"/>
        <c:majorTickMark val="none"/>
        <c:minorTickMark val="none"/>
        <c:tickLblPos val="nextTo"/>
        <c:crossAx val="48043904"/>
        <c:crosses val="autoZero"/>
        <c:crossBetween val="midCat"/>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scatterChart>
        <c:scatterStyle val="lineMarker"/>
        <c:varyColors val="0"/>
        <c:ser>
          <c:idx val="0"/>
          <c:order val="0"/>
          <c:tx>
            <c:strRef>
              <c:f>Sheet1!$C$2</c:f>
              <c:strCache>
                <c:ptCount val="1"/>
                <c:pt idx="0">
                  <c:v>Charge, AH</c:v>
                </c:pt>
              </c:strCache>
            </c:strRef>
          </c:tx>
          <c:spPr>
            <a:ln w="28575">
              <a:noFill/>
            </a:ln>
          </c:spPr>
          <c:trendline>
            <c:trendlineType val="poly"/>
            <c:order val="3"/>
            <c:dispRSqr val="0"/>
            <c:dispEq val="0"/>
          </c:trendline>
          <c:xVal>
            <c:numRef>
              <c:f>Sheet1!$A$3:$A$15</c:f>
              <c:numCache>
                <c:formatCode>General</c:formatCode>
                <c:ptCount val="13"/>
                <c:pt idx="0">
                  <c:v>15</c:v>
                </c:pt>
                <c:pt idx="1">
                  <c:v>15.2</c:v>
                </c:pt>
                <c:pt idx="2">
                  <c:v>15.4</c:v>
                </c:pt>
                <c:pt idx="3">
                  <c:v>15.6</c:v>
                </c:pt>
                <c:pt idx="4">
                  <c:v>15.8</c:v>
                </c:pt>
                <c:pt idx="5">
                  <c:v>16</c:v>
                </c:pt>
                <c:pt idx="6">
                  <c:v>16.2</c:v>
                </c:pt>
                <c:pt idx="7">
                  <c:v>16.399999999999999</c:v>
                </c:pt>
                <c:pt idx="8">
                  <c:v>16.600000000000001</c:v>
                </c:pt>
                <c:pt idx="9">
                  <c:v>16.8</c:v>
                </c:pt>
                <c:pt idx="10">
                  <c:v>17</c:v>
                </c:pt>
                <c:pt idx="11">
                  <c:v>17.158999999999999</c:v>
                </c:pt>
                <c:pt idx="12">
                  <c:v>17.2</c:v>
                </c:pt>
              </c:numCache>
            </c:numRef>
          </c:xVal>
          <c:yVal>
            <c:numRef>
              <c:f>Sheet1!$C$3:$C$15</c:f>
              <c:numCache>
                <c:formatCode>General</c:formatCode>
                <c:ptCount val="13"/>
                <c:pt idx="0">
                  <c:v>3.44</c:v>
                </c:pt>
                <c:pt idx="1">
                  <c:v>3.79</c:v>
                </c:pt>
                <c:pt idx="2">
                  <c:v>4.1399999999999997</c:v>
                </c:pt>
                <c:pt idx="3">
                  <c:v>4.53</c:v>
                </c:pt>
                <c:pt idx="4">
                  <c:v>4.88</c:v>
                </c:pt>
                <c:pt idx="5">
                  <c:v>5.17</c:v>
                </c:pt>
                <c:pt idx="6">
                  <c:v>5.44</c:v>
                </c:pt>
                <c:pt idx="7">
                  <c:v>6.09</c:v>
                </c:pt>
                <c:pt idx="8">
                  <c:v>5.96</c:v>
                </c:pt>
                <c:pt idx="9">
                  <c:v>6.1</c:v>
                </c:pt>
                <c:pt idx="10">
                  <c:v>6.1</c:v>
                </c:pt>
                <c:pt idx="11">
                  <c:v>6.1</c:v>
                </c:pt>
                <c:pt idx="12">
                  <c:v>6.1</c:v>
                </c:pt>
              </c:numCache>
            </c:numRef>
          </c:yVal>
          <c:smooth val="0"/>
        </c:ser>
        <c:dLbls>
          <c:showLegendKey val="0"/>
          <c:showVal val="0"/>
          <c:showCatName val="0"/>
          <c:showSerName val="0"/>
          <c:showPercent val="0"/>
          <c:showBubbleSize val="0"/>
        </c:dLbls>
        <c:axId val="48436352"/>
        <c:axId val="48438272"/>
      </c:scatterChart>
      <c:valAx>
        <c:axId val="48436352"/>
        <c:scaling>
          <c:orientation val="minMax"/>
        </c:scaling>
        <c:delete val="0"/>
        <c:axPos val="b"/>
        <c:title>
          <c:tx>
            <c:strRef>
              <c:f>Sheet1!$A$2</c:f>
              <c:strCache>
                <c:ptCount val="1"/>
                <c:pt idx="0">
                  <c:v>Charge Voltage, V</c:v>
                </c:pt>
              </c:strCache>
            </c:strRef>
          </c:tx>
          <c:layout/>
          <c:overlay val="0"/>
        </c:title>
        <c:numFmt formatCode="General" sourceLinked="1"/>
        <c:majorTickMark val="none"/>
        <c:minorTickMark val="none"/>
        <c:tickLblPos val="nextTo"/>
        <c:crossAx val="48438272"/>
        <c:crosses val="autoZero"/>
        <c:crossBetween val="midCat"/>
      </c:valAx>
      <c:valAx>
        <c:axId val="48438272"/>
        <c:scaling>
          <c:orientation val="minMax"/>
        </c:scaling>
        <c:delete val="0"/>
        <c:axPos val="l"/>
        <c:majorGridlines/>
        <c:title>
          <c:tx>
            <c:strRef>
              <c:f>Sheet1!$C$2</c:f>
              <c:strCache>
                <c:ptCount val="1"/>
                <c:pt idx="0">
                  <c:v>Charge, AH</c:v>
                </c:pt>
              </c:strCache>
            </c:strRef>
          </c:tx>
          <c:layout/>
          <c:overlay val="0"/>
        </c:title>
        <c:numFmt formatCode="General" sourceLinked="1"/>
        <c:majorTickMark val="none"/>
        <c:minorTickMark val="none"/>
        <c:tickLblPos val="nextTo"/>
        <c:crossAx val="48436352"/>
        <c:crosses val="autoZero"/>
        <c:crossBetween val="midCat"/>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6317</TotalTime>
  <Pages>8</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dc:creator>
  <cp:keywords/>
  <dc:description/>
  <cp:lastModifiedBy>Klimov</cp:lastModifiedBy>
  <cp:revision>14</cp:revision>
  <cp:lastPrinted>2018-06-14T18:57:00Z</cp:lastPrinted>
  <dcterms:created xsi:type="dcterms:W3CDTF">2018-04-24T17:45:00Z</dcterms:created>
  <dcterms:modified xsi:type="dcterms:W3CDTF">2018-08-13T21:30:00Z</dcterms:modified>
</cp:coreProperties>
</file>