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theme/theme1.xml" ContentType="application/vnd.openxmlformats-officedocument.theme+xml"/>
  <Default Extension="jpeg" ContentType="image/jpe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F5A" w:rsidRDefault="00F71C60" w:rsidP="009A7FEA">
      <w:pPr>
        <w:rPr>
          <w:b/>
        </w:rPr>
      </w:pPr>
      <w:r w:rsidRPr="005E1F5A">
        <w:rPr>
          <w:b/>
        </w:rPr>
        <w:t xml:space="preserve">Prototype </w:t>
      </w:r>
      <w:r w:rsidR="009A7FEA" w:rsidRPr="005E1F5A">
        <w:rPr>
          <w:b/>
        </w:rPr>
        <w:t xml:space="preserve">Power Buoy Configuration 3 </w:t>
      </w:r>
      <w:r w:rsidRPr="005E1F5A">
        <w:rPr>
          <w:b/>
        </w:rPr>
        <w:t>–</w:t>
      </w:r>
      <w:r w:rsidR="009A7FEA" w:rsidRPr="005E1F5A">
        <w:rPr>
          <w:b/>
        </w:rPr>
        <w:t xml:space="preserve"> </w:t>
      </w:r>
      <w:r w:rsidRPr="005E1F5A">
        <w:rPr>
          <w:b/>
        </w:rPr>
        <w:t>Un-instrumented Flat Plate</w:t>
      </w:r>
    </w:p>
    <w:p w:rsidR="005E1F5A" w:rsidRDefault="005E1F5A" w:rsidP="009A7FEA">
      <w:pPr>
        <w:rPr>
          <w:b/>
        </w:rPr>
      </w:pPr>
    </w:p>
    <w:p w:rsidR="005E1F5A" w:rsidRDefault="005E1F5A" w:rsidP="005E1F5A">
      <w:pPr>
        <w:rPr>
          <w:i/>
        </w:rPr>
      </w:pPr>
      <w:r w:rsidRPr="000D171A">
        <w:rPr>
          <w:i/>
        </w:rPr>
        <w:t xml:space="preserve">This </w:t>
      </w:r>
      <w:r>
        <w:rPr>
          <w:i/>
        </w:rPr>
        <w:t>configuration</w:t>
      </w:r>
      <w:r w:rsidRPr="000D171A">
        <w:rPr>
          <w:i/>
        </w:rPr>
        <w:t xml:space="preserve"> represents </w:t>
      </w:r>
      <w:r>
        <w:rPr>
          <w:i/>
        </w:rPr>
        <w:t xml:space="preserve">the most reduced </w:t>
      </w:r>
      <w:r w:rsidRPr="000D171A">
        <w:rPr>
          <w:i/>
        </w:rPr>
        <w:t>system</w:t>
      </w:r>
      <w:r>
        <w:rPr>
          <w:i/>
        </w:rPr>
        <w:t xml:space="preserve"> envisioned and includes </w:t>
      </w:r>
      <w:r w:rsidRPr="000D171A">
        <w:rPr>
          <w:i/>
        </w:rPr>
        <w:t>an</w:t>
      </w:r>
      <w:r w:rsidRPr="00BE2EC0">
        <w:rPr>
          <w:i/>
        </w:rPr>
        <w:t xml:space="preserve"> </w:t>
      </w:r>
      <w:r w:rsidRPr="000D171A">
        <w:rPr>
          <w:i/>
        </w:rPr>
        <w:t>instrumented surface expres</w:t>
      </w:r>
      <w:r>
        <w:rPr>
          <w:i/>
        </w:rPr>
        <w:t>sion with power take-off system and an un-</w:t>
      </w:r>
      <w:r w:rsidRPr="000D171A">
        <w:rPr>
          <w:i/>
        </w:rPr>
        <w:t>inst</w:t>
      </w:r>
      <w:r>
        <w:rPr>
          <w:i/>
        </w:rPr>
        <w:t>rumented submerged flat plate.</w:t>
      </w:r>
    </w:p>
    <w:p w:rsidR="009A7FEA" w:rsidRPr="009A7FEA" w:rsidRDefault="009A7FEA" w:rsidP="009A7FEA"/>
    <w:p w:rsidR="009A7FEA" w:rsidRPr="005E1F5A" w:rsidRDefault="009A7FEA" w:rsidP="009A7FEA">
      <w:pPr>
        <w:rPr>
          <w:b/>
        </w:rPr>
      </w:pPr>
      <w:r w:rsidRPr="005E1F5A">
        <w:rPr>
          <w:b/>
        </w:rPr>
        <w:t>Functional Requirements:</w:t>
      </w:r>
    </w:p>
    <w:p w:rsidR="009A7FEA" w:rsidRPr="009A7FEA" w:rsidRDefault="009A7FEA" w:rsidP="009A7FEA"/>
    <w:p w:rsidR="009A7FEA" w:rsidRPr="009A7FEA" w:rsidRDefault="009A7FEA" w:rsidP="009A7FEA">
      <w:pPr>
        <w:pStyle w:val="ListParagraph"/>
        <w:numPr>
          <w:ilvl w:val="0"/>
          <w:numId w:val="1"/>
        </w:numPr>
      </w:pPr>
      <w:r w:rsidRPr="009A7FEA">
        <w:t>The device shall be engineered as economically as possible to operate for short tests over the one-year duration of the test program.</w:t>
      </w:r>
    </w:p>
    <w:p w:rsidR="009A7FEA" w:rsidRPr="009A7FEA" w:rsidRDefault="009A7FEA" w:rsidP="009A7FEA">
      <w:pPr>
        <w:pStyle w:val="ListParagraph"/>
        <w:numPr>
          <w:ilvl w:val="0"/>
          <w:numId w:val="1"/>
        </w:numPr>
      </w:pPr>
      <w:r w:rsidRPr="009A7FEA">
        <w:t>The device should be as small as possible to quantify the desired effects, but large enough to extrapolate the desired effects to a full-sized production model.</w:t>
      </w:r>
    </w:p>
    <w:p w:rsidR="009A7FEA" w:rsidRPr="009A7FEA" w:rsidRDefault="009A7FEA" w:rsidP="009A7FEA">
      <w:pPr>
        <w:pStyle w:val="ListParagraph"/>
        <w:numPr>
          <w:ilvl w:val="0"/>
          <w:numId w:val="1"/>
        </w:numPr>
      </w:pPr>
      <w:r w:rsidRPr="009A7FEA">
        <w:t xml:space="preserve">The structure shall be sufficient to float in water without significant deformation and support the required subsurface elements without separating in sea states up to </w:t>
      </w:r>
      <w:r>
        <w:t xml:space="preserve">state </w:t>
      </w:r>
      <w:r w:rsidR="00265C67" w:rsidRPr="00265C67">
        <w:rPr>
          <w:color w:val="C0504D" w:themeColor="accent2"/>
        </w:rPr>
        <w:t>TBD</w:t>
      </w:r>
      <w:r>
        <w:t>.</w:t>
      </w:r>
    </w:p>
    <w:p w:rsidR="009A7FEA" w:rsidRPr="009A7FEA" w:rsidRDefault="009A7FEA" w:rsidP="009A7FEA">
      <w:pPr>
        <w:pStyle w:val="ListParagraph"/>
        <w:numPr>
          <w:ilvl w:val="0"/>
          <w:numId w:val="1"/>
        </w:numPr>
      </w:pPr>
      <w:r w:rsidRPr="009A7FEA">
        <w:t>The surface expression shall support the power take-off device described in the PTO functional requirement section.</w:t>
      </w:r>
    </w:p>
    <w:p w:rsidR="009A7FEA" w:rsidRPr="009A7FEA" w:rsidRDefault="009A7FEA" w:rsidP="009A7FEA">
      <w:pPr>
        <w:pStyle w:val="ListParagraph"/>
        <w:numPr>
          <w:ilvl w:val="0"/>
          <w:numId w:val="1"/>
        </w:numPr>
      </w:pPr>
      <w:r w:rsidRPr="009A7FEA">
        <w:t>The surface expression must support the load of a significant quantity of batteries, representing the power storage for a production model. For the prototype, the batteries may be represented by comparable ballast.</w:t>
      </w:r>
    </w:p>
    <w:p w:rsidR="009A7FEA" w:rsidRPr="009A7FEA" w:rsidRDefault="009A7FEA" w:rsidP="009A7FEA">
      <w:pPr>
        <w:pStyle w:val="ListParagraph"/>
        <w:numPr>
          <w:ilvl w:val="0"/>
          <w:numId w:val="1"/>
        </w:numPr>
      </w:pPr>
      <w:r w:rsidRPr="009A7FEA">
        <w:t>The surface expression shall have a minimum of structure above the still waterline to minimize wind loading.</w:t>
      </w:r>
    </w:p>
    <w:p w:rsidR="009A7FEA" w:rsidRPr="009A7FEA" w:rsidRDefault="009A7FEA" w:rsidP="009A7FEA">
      <w:pPr>
        <w:pStyle w:val="ListParagraph"/>
        <w:numPr>
          <w:ilvl w:val="0"/>
          <w:numId w:val="1"/>
        </w:numPr>
      </w:pPr>
      <w:r w:rsidRPr="009A7FEA">
        <w:t>As an engineering prototype, the device does not need to be engineered for subsequent transition to another group (such as operations or support engineering); it is fine if the engineers who design the various systems are the only ones who can operate them.</w:t>
      </w:r>
    </w:p>
    <w:p w:rsidR="009A7FEA" w:rsidRPr="009A7FEA" w:rsidRDefault="009A7FEA" w:rsidP="009A7FEA">
      <w:pPr>
        <w:pStyle w:val="ListParagraph"/>
        <w:numPr>
          <w:ilvl w:val="0"/>
          <w:numId w:val="1"/>
        </w:numPr>
      </w:pPr>
      <w:r w:rsidRPr="009A7FEA">
        <w:t>As an engineering prototype, the device may contain additional sensors and systems that would not be present on a production model.</w:t>
      </w:r>
    </w:p>
    <w:p w:rsidR="009A7FEA" w:rsidRPr="009A7FEA" w:rsidRDefault="009A7FEA" w:rsidP="009A7FEA">
      <w:pPr>
        <w:pStyle w:val="ListParagraph"/>
        <w:numPr>
          <w:ilvl w:val="0"/>
          <w:numId w:val="1"/>
        </w:numPr>
      </w:pPr>
      <w:r w:rsidRPr="009A7FEA">
        <w:t>The device does not need to be self-powering; for example, it is completely acceptable that there are auxiliary batteries designed into the system to power any needed equipment.</w:t>
      </w:r>
    </w:p>
    <w:p w:rsidR="009A7FEA" w:rsidRPr="009A7FEA" w:rsidRDefault="009A7FEA" w:rsidP="009A7FEA">
      <w:pPr>
        <w:pStyle w:val="ListParagraph"/>
        <w:numPr>
          <w:ilvl w:val="0"/>
          <w:numId w:val="1"/>
        </w:numPr>
      </w:pPr>
      <w:r w:rsidRPr="009A7FEA">
        <w:t>COTS hardware shall be used wherever possible.</w:t>
      </w:r>
    </w:p>
    <w:p w:rsidR="009A7FEA" w:rsidRDefault="009A7FEA" w:rsidP="009A7FEA">
      <w:pPr>
        <w:pStyle w:val="ListParagraph"/>
        <w:numPr>
          <w:ilvl w:val="0"/>
          <w:numId w:val="1"/>
        </w:numPr>
      </w:pPr>
      <w:r w:rsidRPr="009A7FEA">
        <w:t>Surface communications shall be sufficient for transmitting system status to shore or support vessel via line-of-site radio or satellite system</w:t>
      </w:r>
    </w:p>
    <w:p w:rsidR="004046E1" w:rsidRDefault="009A7FEA" w:rsidP="009A7FEA">
      <w:pPr>
        <w:pStyle w:val="ListParagraph"/>
        <w:numPr>
          <w:ilvl w:val="0"/>
          <w:numId w:val="1"/>
        </w:numPr>
      </w:pPr>
      <w:r w:rsidRPr="009A7FEA">
        <w:t>Data from all sensors must be logged at a rate sufficient to prevent aliasing of the measured quantity, such that data deviations between samples don’t exceed 1% of full scale.</w:t>
      </w:r>
    </w:p>
    <w:p w:rsidR="004046E1" w:rsidRDefault="004046E1" w:rsidP="004046E1"/>
    <w:p w:rsidR="004046E1" w:rsidRDefault="004046E1" w:rsidP="004046E1"/>
    <w:p w:rsidR="004046E1" w:rsidRPr="00731F20" w:rsidRDefault="004046E1" w:rsidP="004046E1">
      <w:pPr>
        <w:rPr>
          <w:b/>
        </w:rPr>
      </w:pPr>
      <w:r w:rsidRPr="00731F20">
        <w:rPr>
          <w:b/>
        </w:rPr>
        <w:t xml:space="preserve">Design Requirements: </w:t>
      </w:r>
    </w:p>
    <w:p w:rsidR="004046E1" w:rsidRPr="009A7FEA" w:rsidRDefault="004046E1" w:rsidP="004046E1">
      <w:pPr>
        <w:pStyle w:val="ListParagraph"/>
        <w:ind w:left="360"/>
      </w:pPr>
    </w:p>
    <w:p w:rsidR="004046E1" w:rsidRDefault="004046E1" w:rsidP="004046E1">
      <w:pPr>
        <w:pStyle w:val="ListParagraph"/>
        <w:numPr>
          <w:ilvl w:val="0"/>
          <w:numId w:val="2"/>
        </w:numPr>
      </w:pPr>
      <w:r>
        <w:t>Surface Element</w:t>
      </w:r>
    </w:p>
    <w:p w:rsidR="004046E1" w:rsidRDefault="004046E1" w:rsidP="004046E1">
      <w:pPr>
        <w:pStyle w:val="ListParagraph"/>
        <w:numPr>
          <w:ilvl w:val="1"/>
          <w:numId w:val="2"/>
        </w:numPr>
      </w:pPr>
      <w:r>
        <w:t>The surface expression shall be designed to support unattended deployments of up to 2 days, with a service lifetime of 1 year. [FR 1]</w:t>
      </w:r>
    </w:p>
    <w:p w:rsidR="004046E1" w:rsidRDefault="004046E1" w:rsidP="004046E1">
      <w:pPr>
        <w:pStyle w:val="ListParagraph"/>
        <w:numPr>
          <w:ilvl w:val="1"/>
          <w:numId w:val="2"/>
        </w:numPr>
      </w:pPr>
      <w:r>
        <w:t>The surface expression shall have a circular water plane area of 10 square meters (diameter = 3.6 meters). [FR 2]</w:t>
      </w:r>
    </w:p>
    <w:p w:rsidR="004046E1" w:rsidRDefault="004046E1" w:rsidP="004046E1">
      <w:pPr>
        <w:pStyle w:val="ListParagraph"/>
        <w:numPr>
          <w:ilvl w:val="1"/>
          <w:numId w:val="2"/>
        </w:numPr>
      </w:pPr>
      <w:r>
        <w:t>The surface expression shall have a displacement of 5.3 m^3 when supporting the static weight of the submerged foil (8400 N / 1880 lbs). [FR 2]</w:t>
      </w:r>
    </w:p>
    <w:p w:rsidR="004046E1" w:rsidRDefault="004046E1" w:rsidP="004046E1">
      <w:pPr>
        <w:pStyle w:val="ListParagraph"/>
        <w:numPr>
          <w:ilvl w:val="1"/>
          <w:numId w:val="2"/>
        </w:numPr>
      </w:pPr>
      <w:r>
        <w:t>The surface expression shall have a reserve buoyancy of 5.0 m^3. [FR 2]</w:t>
      </w:r>
    </w:p>
    <w:p w:rsidR="004046E1" w:rsidRDefault="004046E1" w:rsidP="004046E1">
      <w:pPr>
        <w:pStyle w:val="ListParagraph"/>
        <w:numPr>
          <w:ilvl w:val="1"/>
          <w:numId w:val="2"/>
        </w:numPr>
      </w:pPr>
      <w:r>
        <w:t>The surface expression shall support at least a 25 kN downward force at the attachment point. [FR 3]</w:t>
      </w:r>
    </w:p>
    <w:p w:rsidR="004046E1" w:rsidRDefault="004046E1" w:rsidP="004046E1">
      <w:pPr>
        <w:pStyle w:val="ListParagraph"/>
        <w:numPr>
          <w:ilvl w:val="1"/>
          <w:numId w:val="2"/>
        </w:numPr>
      </w:pPr>
      <w:r>
        <w:t>The surface expression shall support at least 1500 kg of lead-acid batteries, or their ballast equivalent. [FR 5]</w:t>
      </w:r>
    </w:p>
    <w:p w:rsidR="004046E1" w:rsidRDefault="004046E1" w:rsidP="004046E1">
      <w:pPr>
        <w:pStyle w:val="ListParagraph"/>
        <w:numPr>
          <w:ilvl w:val="1"/>
          <w:numId w:val="2"/>
        </w:numPr>
      </w:pPr>
      <w:r>
        <w:t>The exterior shape of the surface expression shall be axi-symmetric around a vertical axis. [FR 1]</w:t>
      </w:r>
    </w:p>
    <w:p w:rsidR="004046E1" w:rsidRDefault="004046E1" w:rsidP="004046E1">
      <w:pPr>
        <w:pStyle w:val="ListParagraph"/>
        <w:numPr>
          <w:ilvl w:val="1"/>
          <w:numId w:val="2"/>
        </w:numPr>
      </w:pPr>
      <w:r>
        <w:t>Surface Element Controller</w:t>
      </w:r>
    </w:p>
    <w:p w:rsidR="004046E1" w:rsidRDefault="004046E1" w:rsidP="004046E1">
      <w:pPr>
        <w:pStyle w:val="ListParagraph"/>
        <w:numPr>
          <w:ilvl w:val="2"/>
          <w:numId w:val="2"/>
        </w:numPr>
      </w:pPr>
      <w:r>
        <w:t>GPS: Log and timestamp GPS measurements no slow</w:t>
      </w:r>
      <w:r w:rsidR="00805525">
        <w:t>er than a rate of 0.5 Hz. [FR 12</w:t>
      </w:r>
      <w:r>
        <w:t>]</w:t>
      </w:r>
    </w:p>
    <w:p w:rsidR="004046E1" w:rsidRDefault="004046E1" w:rsidP="004046E1">
      <w:pPr>
        <w:pStyle w:val="ListParagraph"/>
        <w:numPr>
          <w:ilvl w:val="2"/>
          <w:numId w:val="2"/>
        </w:numPr>
      </w:pPr>
      <w:r>
        <w:t>IMU: Log and timestamp 6 DOF IMU measurements at the rate the sensor pro</w:t>
      </w:r>
      <w:r w:rsidR="00805525">
        <w:t>duces measurements (</w:t>
      </w:r>
      <w:r w:rsidR="00265C67" w:rsidRPr="00265C67">
        <w:rPr>
          <w:color w:val="C0504D" w:themeColor="accent2"/>
        </w:rPr>
        <w:t>TBD</w:t>
      </w:r>
      <w:r w:rsidR="00805525">
        <w:t>). [FR 12</w:t>
      </w:r>
      <w:r>
        <w:t>]</w:t>
      </w:r>
    </w:p>
    <w:p w:rsidR="004046E1" w:rsidRDefault="004046E1" w:rsidP="004046E1">
      <w:pPr>
        <w:pStyle w:val="ListParagraph"/>
        <w:numPr>
          <w:ilvl w:val="2"/>
          <w:numId w:val="2"/>
        </w:numPr>
      </w:pPr>
      <w:r>
        <w:t>Compass: Log and timestamp compass measurements no slower than a rate of 5 Hz. Accurate to 1 degree, suitable for use in magnetic environment dictated by the surface expression structure construction (which may be steel), and at ti</w:t>
      </w:r>
      <w:r w:rsidR="00805525">
        <w:t xml:space="preserve">lt angles of </w:t>
      </w:r>
      <w:r w:rsidR="00265C67" w:rsidRPr="00265C67">
        <w:rPr>
          <w:color w:val="C0504D" w:themeColor="accent2"/>
        </w:rPr>
        <w:t>TBD</w:t>
      </w:r>
      <w:r w:rsidR="00805525">
        <w:t xml:space="preserve"> degrees. [FR 12</w:t>
      </w:r>
      <w:r>
        <w:t>]</w:t>
      </w:r>
    </w:p>
    <w:p w:rsidR="004046E1" w:rsidRDefault="004046E1" w:rsidP="004046E1">
      <w:pPr>
        <w:pStyle w:val="ListParagraph"/>
        <w:numPr>
          <w:ilvl w:val="2"/>
          <w:numId w:val="2"/>
        </w:numPr>
      </w:pPr>
      <w:r>
        <w:t>Load Cell: Log and timestamp load cell measurements no slower than a rate of 5 Hz. (0 – 10,000 lb, accurate to</w:t>
      </w:r>
      <w:r w:rsidR="00805525">
        <w:t xml:space="preserve"> +/- 5 lbs, or 0.05% FS). [FR 12</w:t>
      </w:r>
      <w:r>
        <w:t>]</w:t>
      </w:r>
    </w:p>
    <w:p w:rsidR="004046E1" w:rsidRDefault="004046E1" w:rsidP="004046E1">
      <w:pPr>
        <w:pStyle w:val="ListParagraph"/>
        <w:numPr>
          <w:ilvl w:val="2"/>
          <w:numId w:val="2"/>
        </w:numPr>
      </w:pPr>
      <w:r>
        <w:t>Power Take-Off Device: Computing infrastructure shall be sufficient to manage data logging and control algorithms required by th</w:t>
      </w:r>
      <w:r w:rsidR="00805525">
        <w:t>e power take-off system</w:t>
      </w:r>
      <w:r>
        <w:t>. [FR 4]</w:t>
      </w:r>
    </w:p>
    <w:p w:rsidR="004046E1" w:rsidRDefault="004046E1" w:rsidP="004046E1">
      <w:pPr>
        <w:pStyle w:val="ListParagraph"/>
        <w:numPr>
          <w:ilvl w:val="2"/>
          <w:numId w:val="2"/>
        </w:numPr>
      </w:pPr>
      <w:r>
        <w:t>All timestamp measurements shall be accurate relative to 10% of sample rate. The absolute timestamp ac</w:t>
      </w:r>
      <w:r w:rsidR="00805525">
        <w:t xml:space="preserve">curacy shall be </w:t>
      </w:r>
      <w:r w:rsidR="00265C67" w:rsidRPr="00265C67">
        <w:rPr>
          <w:color w:val="C0504D" w:themeColor="accent2"/>
        </w:rPr>
        <w:t>TBD</w:t>
      </w:r>
      <w:r w:rsidR="00805525">
        <w:t xml:space="preserve"> sec. [FR 12</w:t>
      </w:r>
      <w:r>
        <w:t>]</w:t>
      </w:r>
    </w:p>
    <w:p w:rsidR="004046E1" w:rsidRDefault="004046E1" w:rsidP="004046E1">
      <w:pPr>
        <w:pStyle w:val="ListParagraph"/>
        <w:numPr>
          <w:ilvl w:val="2"/>
          <w:numId w:val="2"/>
        </w:numPr>
      </w:pPr>
      <w:r>
        <w:t xml:space="preserve">Radio communications shall support a data rate of </w:t>
      </w:r>
      <w:r w:rsidR="00265C67" w:rsidRPr="00265C67">
        <w:rPr>
          <w:color w:val="C0504D" w:themeColor="accent2"/>
        </w:rPr>
        <w:t>TBD</w:t>
      </w:r>
      <w:r>
        <w:t xml:space="preserve"> bps with a latency of no more than </w:t>
      </w:r>
      <w:r w:rsidR="00265C67" w:rsidRPr="00265C67">
        <w:rPr>
          <w:color w:val="C0504D" w:themeColor="accent2"/>
        </w:rPr>
        <w:t>TBD</w:t>
      </w:r>
      <w:r>
        <w:t xml:space="preserve"> sec and a p</w:t>
      </w:r>
      <w:r w:rsidR="00805525">
        <w:t xml:space="preserve">ayload of </w:t>
      </w:r>
      <w:r w:rsidR="00265C67" w:rsidRPr="00265C67">
        <w:rPr>
          <w:color w:val="C0504D" w:themeColor="accent2"/>
        </w:rPr>
        <w:t>TBD</w:t>
      </w:r>
      <w:r w:rsidR="00805525">
        <w:t xml:space="preserve"> kb</w:t>
      </w:r>
      <w:r w:rsidR="00F01389">
        <w:t>ytes</w:t>
      </w:r>
      <w:r w:rsidR="00805525">
        <w:t xml:space="preserve"> per day. [FR 11</w:t>
      </w:r>
      <w:r>
        <w:t>]</w:t>
      </w:r>
    </w:p>
    <w:p w:rsidR="004046E1" w:rsidRDefault="004046E1" w:rsidP="004046E1"/>
    <w:p w:rsidR="004046E1" w:rsidRDefault="004046E1" w:rsidP="004046E1">
      <w:pPr>
        <w:pStyle w:val="ListParagraph"/>
        <w:numPr>
          <w:ilvl w:val="0"/>
          <w:numId w:val="2"/>
        </w:numPr>
      </w:pPr>
      <w:r>
        <w:t>Subsurface Element</w:t>
      </w:r>
    </w:p>
    <w:p w:rsidR="004046E1" w:rsidRDefault="004046E1" w:rsidP="004046E1">
      <w:pPr>
        <w:pStyle w:val="ListParagraph"/>
        <w:numPr>
          <w:ilvl w:val="1"/>
          <w:numId w:val="2"/>
        </w:numPr>
      </w:pPr>
      <w:r>
        <w:t>The subsurface expression shall be designed to support unattended deployments of up to 2 days, with a service lifetime of 1 year. [FR 1]</w:t>
      </w:r>
    </w:p>
    <w:p w:rsidR="004046E1" w:rsidRDefault="004046E1" w:rsidP="004046E1">
      <w:pPr>
        <w:pStyle w:val="ListParagraph"/>
        <w:numPr>
          <w:ilvl w:val="1"/>
          <w:numId w:val="2"/>
        </w:numPr>
      </w:pPr>
      <w:r>
        <w:t>The subsurface structure shall support 20 m^2 of foil area. [FR 2]</w:t>
      </w:r>
    </w:p>
    <w:p w:rsidR="004046E1" w:rsidRDefault="004046E1" w:rsidP="004046E1">
      <w:pPr>
        <w:pStyle w:val="ListParagraph"/>
        <w:numPr>
          <w:ilvl w:val="1"/>
          <w:numId w:val="2"/>
        </w:numPr>
      </w:pPr>
      <w:r>
        <w:t>The subsurface element shall weigh 8,400 N (1,880 lbs) in seawater. [FR 2]</w:t>
      </w:r>
    </w:p>
    <w:p w:rsidR="004046E1" w:rsidRDefault="004046E1" w:rsidP="004046E1">
      <w:pPr>
        <w:pStyle w:val="ListParagraph"/>
        <w:numPr>
          <w:ilvl w:val="1"/>
          <w:numId w:val="2"/>
        </w:numPr>
      </w:pPr>
      <w:r>
        <w:t>The structure and attachment points shall be strong enough to allow at minimum a 25 kN (5,600 lbs) force to be applied vertically upwards. [FR 3]</w:t>
      </w:r>
    </w:p>
    <w:p w:rsidR="004046E1" w:rsidRDefault="004046E1" w:rsidP="004046E1">
      <w:pPr>
        <w:pStyle w:val="ListParagraph"/>
        <w:numPr>
          <w:ilvl w:val="1"/>
          <w:numId w:val="2"/>
        </w:numPr>
      </w:pPr>
      <w:r>
        <w:t>The structure shall hang in a stable horizontal orientation from a single attachment point (with the use of a bridle if required). [FR 1]</w:t>
      </w:r>
    </w:p>
    <w:p w:rsidR="004046E1" w:rsidRDefault="004046E1" w:rsidP="004046E1">
      <w:pPr>
        <w:pStyle w:val="ListParagraph"/>
        <w:numPr>
          <w:ilvl w:val="1"/>
          <w:numId w:val="2"/>
        </w:numPr>
      </w:pPr>
      <w:r>
        <w:t>The subsurface device shall be suitable for use up to 50 m water depth in seawater. [FR 2]</w:t>
      </w:r>
    </w:p>
    <w:p w:rsidR="009A7FEA" w:rsidRDefault="009A7FEA" w:rsidP="004046E1"/>
    <w:sectPr w:rsidR="009A7FEA" w:rsidSect="009A7FEA">
      <w:footerReference w:type="default" r:id="rId5"/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6E1" w:rsidRPr="009A7FEA" w:rsidRDefault="00D75635" w:rsidP="009A7FEA">
    <w:pPr>
      <w:pStyle w:val="Footer"/>
      <w:framePr w:wrap="around" w:vAnchor="text" w:hAnchor="margin" w:xAlign="right" w:y="1"/>
      <w:rPr>
        <w:rStyle w:val="PageNumber"/>
      </w:rPr>
    </w:pPr>
    <w:r w:rsidRPr="009A7FEA">
      <w:rPr>
        <w:rStyle w:val="PageNumber"/>
        <w:color w:val="7F7F7F" w:themeColor="text1" w:themeTint="80"/>
      </w:rPr>
      <w:fldChar w:fldCharType="begin"/>
    </w:r>
    <w:r w:rsidR="004046E1" w:rsidRPr="009A7FEA">
      <w:rPr>
        <w:rStyle w:val="PageNumber"/>
        <w:color w:val="7F7F7F" w:themeColor="text1" w:themeTint="80"/>
      </w:rPr>
      <w:instrText xml:space="preserve">PAGE  </w:instrText>
    </w:r>
    <w:r w:rsidRPr="009A7FEA">
      <w:rPr>
        <w:rStyle w:val="PageNumber"/>
        <w:color w:val="7F7F7F" w:themeColor="text1" w:themeTint="80"/>
      </w:rPr>
      <w:fldChar w:fldCharType="separate"/>
    </w:r>
    <w:r w:rsidR="00F01389">
      <w:rPr>
        <w:rStyle w:val="PageNumber"/>
        <w:noProof/>
        <w:color w:val="7F7F7F" w:themeColor="text1" w:themeTint="80"/>
      </w:rPr>
      <w:t>2</w:t>
    </w:r>
    <w:r w:rsidRPr="009A7FEA">
      <w:rPr>
        <w:rStyle w:val="PageNumber"/>
        <w:color w:val="7F7F7F" w:themeColor="text1" w:themeTint="80"/>
      </w:rPr>
      <w:fldChar w:fldCharType="end"/>
    </w:r>
  </w:p>
  <w:p w:rsidR="004046E1" w:rsidRPr="009A7FEA" w:rsidRDefault="004046E1" w:rsidP="009A7FEA">
    <w:pPr>
      <w:pStyle w:val="Footer"/>
      <w:ind w:right="360"/>
      <w:rPr>
        <w:color w:val="7F7F7F" w:themeColor="text1" w:themeTint="80"/>
      </w:rPr>
    </w:pPr>
    <w:r>
      <w:rPr>
        <w:color w:val="7F7F7F" w:themeColor="text1" w:themeTint="80"/>
      </w:rPr>
      <w:t>Ver 2.1.0 13</w:t>
    </w:r>
    <w:r w:rsidRPr="009A7FEA">
      <w:rPr>
        <w:color w:val="7F7F7F" w:themeColor="text1" w:themeTint="80"/>
      </w:rPr>
      <w:t>Jan10 PRM</w:t>
    </w:r>
  </w:p>
  <w:p w:rsidR="004046E1" w:rsidRPr="009A7FEA" w:rsidRDefault="004046E1">
    <w:pPr>
      <w:pStyle w:val="Footer"/>
      <w:rPr>
        <w:color w:val="7F7F7F" w:themeColor="text1" w:themeTint="80"/>
      </w:rPr>
    </w:pPr>
  </w:p>
</w:ft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235E4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7D1C60F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B423FC"/>
    <w:rsid w:val="00265C67"/>
    <w:rsid w:val="004046E1"/>
    <w:rsid w:val="005E1F5A"/>
    <w:rsid w:val="00805525"/>
    <w:rsid w:val="009A7FEA"/>
    <w:rsid w:val="00B423FC"/>
    <w:rsid w:val="00D75635"/>
    <w:rsid w:val="00DA050E"/>
    <w:rsid w:val="00F01389"/>
    <w:rsid w:val="00F71C60"/>
  </w:rsids>
  <m:mathPr>
    <m:mathFont m:val="Monotype Sorts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7FEA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9A7F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9A7FE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A7FEA"/>
  </w:style>
  <w:style w:type="paragraph" w:styleId="Footer">
    <w:name w:val="footer"/>
    <w:basedOn w:val="Normal"/>
    <w:link w:val="FooterChar"/>
    <w:unhideWhenUsed/>
    <w:rsid w:val="009A7FE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A7FEA"/>
  </w:style>
  <w:style w:type="character" w:styleId="PageNumber">
    <w:name w:val="page number"/>
    <w:basedOn w:val="DefaultParagraphFont"/>
    <w:rsid w:val="009A7F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webSettings" Target="webSettings.xml"/><Relationship Id="rId5" Type="http://schemas.openxmlformats.org/officeDocument/2006/relationships/footer" Target="footer1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676</Words>
  <Characters>3858</Characters>
  <Application>Microsoft Macintosh Word</Application>
  <DocSecurity>0</DocSecurity>
  <Lines>32</Lines>
  <Paragraphs>7</Paragraphs>
  <ScaleCrop>false</ScaleCrop>
  <Company>Monterey Bay Aquarium Research Institute</Company>
  <LinksUpToDate>false</LinksUpToDate>
  <CharactersWithSpaces>4737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McGill</dc:creator>
  <cp:keywords/>
  <cp:lastModifiedBy>Paul McGill</cp:lastModifiedBy>
  <cp:revision>6</cp:revision>
  <dcterms:created xsi:type="dcterms:W3CDTF">2010-01-14T00:07:00Z</dcterms:created>
  <dcterms:modified xsi:type="dcterms:W3CDTF">2010-01-14T01:29:00Z</dcterms:modified>
</cp:coreProperties>
</file>