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FAA994" w14:textId="3BE7C1E5" w:rsidR="000B1A77" w:rsidRDefault="00C54571">
      <w:r>
        <w:t xml:space="preserve">CANON / </w:t>
      </w:r>
      <w:r w:rsidR="00F03195">
        <w:t xml:space="preserve">ECOHAB </w:t>
      </w:r>
      <w:r w:rsidR="0083624F">
        <w:t xml:space="preserve">summer 2015 </w:t>
      </w:r>
      <w:r w:rsidR="00F03195">
        <w:t>experiment</w:t>
      </w:r>
      <w:r>
        <w:t xml:space="preserve"> plan</w:t>
      </w:r>
    </w:p>
    <w:p w14:paraId="2C1EFD4A" w14:textId="77777777" w:rsidR="0083624F" w:rsidRDefault="0083624F"/>
    <w:p w14:paraId="43C6C049" w14:textId="26AEDEC2" w:rsidR="0083624F" w:rsidRDefault="004202DE" w:rsidP="0083624F">
      <w:r>
        <w:t xml:space="preserve">Supply of nutrients to the photic zone by coastal upwelling is organized around upwelling centers.  </w:t>
      </w:r>
      <w:r w:rsidR="00AD74A7">
        <w:t xml:space="preserve">In the Monterey Bay region, </w:t>
      </w:r>
      <w:r>
        <w:t xml:space="preserve">upwelling centers </w:t>
      </w:r>
      <w:r w:rsidR="00AD74A7">
        <w:t xml:space="preserve">at Point </w:t>
      </w:r>
      <w:proofErr w:type="spellStart"/>
      <w:r w:rsidR="00AD74A7" w:rsidRPr="000E1A6F">
        <w:t>Año</w:t>
      </w:r>
      <w:proofErr w:type="spellEnd"/>
      <w:r w:rsidR="00AD74A7" w:rsidRPr="000E1A6F">
        <w:t xml:space="preserve"> Nuevo</w:t>
      </w:r>
      <w:r w:rsidR="00AD74A7">
        <w:t xml:space="preserve"> and Point Sur dominate this </w:t>
      </w:r>
      <w:r w:rsidR="00866CE9">
        <w:t xml:space="preserve">organization </w:t>
      </w:r>
      <w:r w:rsidR="00AD74A7">
        <w:t xml:space="preserve">(Figure </w:t>
      </w:r>
      <w:proofErr w:type="spellStart"/>
      <w:r w:rsidR="00AD74A7">
        <w:t>Xa</w:t>
      </w:r>
      <w:proofErr w:type="spellEnd"/>
      <w:r w:rsidR="00AD74A7">
        <w:t xml:space="preserve">).  </w:t>
      </w:r>
      <w:r w:rsidR="00721F8B">
        <w:t xml:space="preserve">Studies have shown that phytoplankton blooms in Monterey Bay, including blooms of diatom and </w:t>
      </w:r>
      <w:proofErr w:type="spellStart"/>
      <w:r w:rsidR="00721F8B">
        <w:t>dinoflagellate</w:t>
      </w:r>
      <w:proofErr w:type="spellEnd"/>
      <w:r w:rsidR="00721F8B">
        <w:t xml:space="preserve"> species that can cause harmful algal blooms (HABs), </w:t>
      </w:r>
      <w:r w:rsidR="00675093">
        <w:t xml:space="preserve">can be fed by nutrients from wind-driven upwelling originating at Point </w:t>
      </w:r>
      <w:proofErr w:type="spellStart"/>
      <w:r w:rsidR="00675093" w:rsidRPr="000E1A6F">
        <w:t>Año</w:t>
      </w:r>
      <w:proofErr w:type="spellEnd"/>
      <w:r w:rsidR="00675093" w:rsidRPr="000E1A6F">
        <w:t xml:space="preserve"> Nuevo</w:t>
      </w:r>
      <w:r w:rsidR="00675093">
        <w:t xml:space="preserve"> </w:t>
      </w:r>
      <w:r w:rsidR="0057526B">
        <w:t>or</w:t>
      </w:r>
      <w:r w:rsidR="00675093">
        <w:t xml:space="preserve"> Point Sur</w:t>
      </w:r>
      <w:r w:rsidR="0057526B">
        <w:t>,</w:t>
      </w:r>
      <w:r w:rsidR="00675093">
        <w:t xml:space="preserve"> as well as upwelling from Monterey Canyon (Pennington and Chavez, 2000; Ryan et al. 2010, 2011, 2014a).  Due to regional circulation, u</w:t>
      </w:r>
      <w:r w:rsidR="00166AAC">
        <w:t>pwelling originating from</w:t>
      </w:r>
      <w:r w:rsidR="0083624F" w:rsidRPr="000E1A6F">
        <w:t xml:space="preserve"> </w:t>
      </w:r>
      <w:proofErr w:type="spellStart"/>
      <w:r w:rsidR="0083624F" w:rsidRPr="000E1A6F">
        <w:t>Año</w:t>
      </w:r>
      <w:proofErr w:type="spellEnd"/>
      <w:r w:rsidR="0083624F" w:rsidRPr="000E1A6F">
        <w:t xml:space="preserve"> Nuevo </w:t>
      </w:r>
      <w:r w:rsidR="00166AAC">
        <w:t>is</w:t>
      </w:r>
      <w:r w:rsidR="00716AB8">
        <w:t xml:space="preserve"> a primary driver of phytoplankton </w:t>
      </w:r>
      <w:r w:rsidR="00166AAC">
        <w:t>ecology</w:t>
      </w:r>
      <w:r w:rsidR="00AD74A7">
        <w:t xml:space="preserve"> within Monterey Bay</w:t>
      </w:r>
      <w:r w:rsidR="0057526B">
        <w:t xml:space="preserve"> (Figure </w:t>
      </w:r>
      <w:proofErr w:type="spellStart"/>
      <w:r w:rsidR="0057526B">
        <w:t>Xb</w:t>
      </w:r>
      <w:proofErr w:type="spellEnd"/>
      <w:r w:rsidR="0057526B">
        <w:t>)</w:t>
      </w:r>
      <w:r w:rsidR="00675093">
        <w:t xml:space="preserve">. </w:t>
      </w:r>
      <w:r w:rsidR="00866CE9">
        <w:t xml:space="preserve"> The</w:t>
      </w:r>
      <w:r w:rsidR="00716AB8">
        <w:t xml:space="preserve"> dynamics </w:t>
      </w:r>
      <w:r w:rsidR="00866CE9">
        <w:t xml:space="preserve">and </w:t>
      </w:r>
      <w:r w:rsidR="00675093">
        <w:t>ecological processes resulting</w:t>
      </w:r>
      <w:r w:rsidR="00866CE9">
        <w:t xml:space="preserve"> </w:t>
      </w:r>
      <w:r w:rsidR="00675093">
        <w:t xml:space="preserve">from </w:t>
      </w:r>
      <w:r w:rsidR="00866CE9">
        <w:t>the</w:t>
      </w:r>
      <w:r w:rsidR="00866CE9" w:rsidRPr="00866CE9">
        <w:t xml:space="preserve"> </w:t>
      </w:r>
      <w:r w:rsidR="00866CE9">
        <w:t xml:space="preserve">Point </w:t>
      </w:r>
      <w:proofErr w:type="spellStart"/>
      <w:r w:rsidR="00866CE9" w:rsidRPr="000E1A6F">
        <w:t>Año</w:t>
      </w:r>
      <w:proofErr w:type="spellEnd"/>
      <w:r w:rsidR="00866CE9" w:rsidRPr="000E1A6F">
        <w:t xml:space="preserve"> Nuevo</w:t>
      </w:r>
      <w:r w:rsidR="00866CE9">
        <w:t xml:space="preserve"> upwelling </w:t>
      </w:r>
      <w:r w:rsidR="00716AB8">
        <w:t>will be the focus of CANON experiments during summer a</w:t>
      </w:r>
      <w:r w:rsidR="00296503">
        <w:t>nd fall</w:t>
      </w:r>
      <w:r w:rsidR="00AD74A7">
        <w:t xml:space="preserve"> 2015.  T</w:t>
      </w:r>
      <w:r w:rsidR="00296503">
        <w:t xml:space="preserve">he summer experiment will be </w:t>
      </w:r>
      <w:r w:rsidR="0083624F">
        <w:t>in collaboration with a project of the NOAA Ecology and Oceanography of Harmful Algal Blooms (ECOHAB) program</w:t>
      </w:r>
      <w:r w:rsidR="00AD74A7">
        <w:t xml:space="preserve"> (Project 702105)</w:t>
      </w:r>
      <w:r w:rsidR="00866CE9">
        <w:t xml:space="preserve">, which </w:t>
      </w:r>
      <w:r w:rsidR="0083624F">
        <w:t>involves observational</w:t>
      </w:r>
      <w:r w:rsidR="00716AB8">
        <w:t xml:space="preserve"> </w:t>
      </w:r>
      <w:r w:rsidR="0083624F">
        <w:t xml:space="preserve">and numerical modeling </w:t>
      </w:r>
      <w:r w:rsidR="00AD74A7">
        <w:t>team</w:t>
      </w:r>
      <w:r w:rsidR="00866CE9">
        <w:t>s</w:t>
      </w:r>
      <w:r w:rsidR="00AD74A7">
        <w:t xml:space="preserve"> </w:t>
      </w:r>
      <w:r w:rsidR="00866CE9">
        <w:t>from</w:t>
      </w:r>
      <w:r w:rsidR="00AD74A7">
        <w:t xml:space="preserve"> </w:t>
      </w:r>
      <w:r w:rsidR="00716AB8">
        <w:t>MBARI, UCSC,</w:t>
      </w:r>
      <w:r w:rsidR="00AD74A7">
        <w:t xml:space="preserve"> </w:t>
      </w:r>
      <w:r w:rsidR="0083624F">
        <w:t>MLML</w:t>
      </w:r>
      <w:r w:rsidR="00866CE9">
        <w:t xml:space="preserve">, </w:t>
      </w:r>
      <w:proofErr w:type="spellStart"/>
      <w:r w:rsidR="00866CE9">
        <w:t>CeNCOOS</w:t>
      </w:r>
      <w:proofErr w:type="spellEnd"/>
      <w:r w:rsidR="00866CE9">
        <w:t>, USC, SCCWRP and NASA/JPL.</w:t>
      </w:r>
      <w:r w:rsidR="0098651B">
        <w:t xml:space="preserve">  The overarching goal of the experiment is to examine </w:t>
      </w:r>
      <w:r w:rsidR="0098651B" w:rsidRPr="00296503">
        <w:t xml:space="preserve">the time-varying structure </w:t>
      </w:r>
      <w:r w:rsidR="0098651B">
        <w:t xml:space="preserve">and dynamics </w:t>
      </w:r>
      <w:r w:rsidR="0098651B" w:rsidRPr="00296503">
        <w:t>of th</w:t>
      </w:r>
      <w:bookmarkStart w:id="0" w:name="_GoBack"/>
      <w:bookmarkEnd w:id="0"/>
      <w:r w:rsidR="0098651B" w:rsidRPr="00296503">
        <w:t xml:space="preserve">e </w:t>
      </w:r>
      <w:proofErr w:type="spellStart"/>
      <w:r w:rsidR="0098651B">
        <w:t>Año</w:t>
      </w:r>
      <w:proofErr w:type="spellEnd"/>
      <w:r w:rsidR="0098651B">
        <w:t xml:space="preserve"> Nuevo</w:t>
      </w:r>
      <w:r w:rsidR="0098651B" w:rsidRPr="00296503">
        <w:t xml:space="preserve"> upwelling center and the </w:t>
      </w:r>
      <w:r w:rsidR="0098651B">
        <w:t xml:space="preserve">phytoplankton </w:t>
      </w:r>
      <w:r w:rsidR="0098651B" w:rsidRPr="00296503">
        <w:t xml:space="preserve">blooms that form </w:t>
      </w:r>
      <w:r w:rsidR="0098651B">
        <w:t>in response to its supply of nutrients</w:t>
      </w:r>
      <w:r w:rsidR="0098651B" w:rsidRPr="00296503">
        <w:t>.</w:t>
      </w:r>
      <w:r w:rsidR="0098651B">
        <w:t xml:space="preserve">  </w:t>
      </w:r>
    </w:p>
    <w:p w14:paraId="04FBFC61" w14:textId="77777777" w:rsidR="00254CD9" w:rsidRDefault="00254CD9" w:rsidP="0083624F"/>
    <w:p w14:paraId="725CEAC5" w14:textId="4139EC0B" w:rsidR="0083624F" w:rsidRDefault="00254CD9" w:rsidP="0083624F">
      <w:r>
        <w:rPr>
          <w:noProof/>
        </w:rPr>
        <w:drawing>
          <wp:inline distT="0" distB="0" distL="0" distR="0" wp14:anchorId="6621298D" wp14:editId="46A69893">
            <wp:extent cx="5943600" cy="39681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6">
                      <a:extLst>
                        <a:ext uri="{28A0092B-C50C-407E-A947-70E740481C1C}">
                          <a14:useLocalDpi xmlns:a14="http://schemas.microsoft.com/office/drawing/2010/main" val="0"/>
                        </a:ext>
                      </a:extLst>
                    </a:blip>
                    <a:stretch>
                      <a:fillRect/>
                    </a:stretch>
                  </pic:blipFill>
                  <pic:spPr>
                    <a:xfrm>
                      <a:off x="0" y="0"/>
                      <a:ext cx="5943600" cy="3968115"/>
                    </a:xfrm>
                    <a:prstGeom prst="rect">
                      <a:avLst/>
                    </a:prstGeom>
                  </pic:spPr>
                </pic:pic>
              </a:graphicData>
            </a:graphic>
          </wp:inline>
        </w:drawing>
      </w:r>
    </w:p>
    <w:p w14:paraId="0038254F" w14:textId="77777777" w:rsidR="00254CD9" w:rsidRDefault="00254CD9">
      <w:pPr>
        <w:rPr>
          <w:b/>
        </w:rPr>
      </w:pPr>
    </w:p>
    <w:p w14:paraId="5C71F90F" w14:textId="450B2C18" w:rsidR="00822CAF" w:rsidRDefault="00DB456D">
      <w:r w:rsidRPr="00DB456D">
        <w:rPr>
          <w:b/>
        </w:rPr>
        <w:t>Figure X.</w:t>
      </w:r>
      <w:r>
        <w:t xml:space="preserve">  Climatological mean sea surface temperature (SST) for </w:t>
      </w:r>
      <w:r w:rsidR="0083624F">
        <w:t>summer (</w:t>
      </w:r>
      <w:r>
        <w:t>May-July</w:t>
      </w:r>
      <w:r w:rsidR="0098651B">
        <w:t>).  Greater regional context is provided in (a); details for asset planning are shown in (b).</w:t>
      </w:r>
      <w:r w:rsidR="00ED2B86">
        <w:t xml:space="preserve">  LRAUV lines represent frontal boundaries through which 4-D surveys will occur.</w:t>
      </w:r>
    </w:p>
    <w:p w14:paraId="65996401" w14:textId="77777777" w:rsidR="00DB456D" w:rsidRDefault="00DB456D"/>
    <w:p w14:paraId="4FFBE88B" w14:textId="24800C8E" w:rsidR="00866CE9" w:rsidRDefault="00866CE9" w:rsidP="00AD74A7">
      <w:r>
        <w:t xml:space="preserve">Zones of bloom response may be distinguished inshore and offshore of the </w:t>
      </w:r>
      <w:proofErr w:type="spellStart"/>
      <w:r w:rsidR="00675093" w:rsidRPr="000E1A6F">
        <w:t>Año</w:t>
      </w:r>
      <w:proofErr w:type="spellEnd"/>
      <w:r w:rsidR="00675093" w:rsidRPr="000E1A6F">
        <w:t xml:space="preserve"> Nuevo</w:t>
      </w:r>
      <w:r w:rsidR="00675093">
        <w:t xml:space="preserve"> </w:t>
      </w:r>
      <w:r>
        <w:t>upwelling</w:t>
      </w:r>
      <w:r w:rsidR="00675093">
        <w:t xml:space="preserve"> plume</w:t>
      </w:r>
      <w:r>
        <w:t xml:space="preserve">, and these zones have significantly different physical, chemical and biological </w:t>
      </w:r>
      <w:r w:rsidR="0098651B">
        <w:t>influences</w:t>
      </w:r>
      <w:r>
        <w:t xml:space="preserve">.  </w:t>
      </w:r>
      <w:r w:rsidR="00166AAC">
        <w:t>T</w:t>
      </w:r>
      <w:r>
        <w:t xml:space="preserve">he zone offshore of </w:t>
      </w:r>
      <w:r w:rsidR="00675093">
        <w:t xml:space="preserve">the </w:t>
      </w:r>
      <w:proofErr w:type="spellStart"/>
      <w:r w:rsidR="00675093" w:rsidRPr="000E1A6F">
        <w:t>Año</w:t>
      </w:r>
      <w:proofErr w:type="spellEnd"/>
      <w:r w:rsidR="00675093" w:rsidRPr="000E1A6F">
        <w:t xml:space="preserve"> Nuevo</w:t>
      </w:r>
      <w:r w:rsidR="00675093">
        <w:t xml:space="preserve"> upwelling plume </w:t>
      </w:r>
      <w:r>
        <w:t xml:space="preserve">is often seen in </w:t>
      </w:r>
      <w:r w:rsidR="00675093">
        <w:t xml:space="preserve">satellite </w:t>
      </w:r>
      <w:r>
        <w:t xml:space="preserve">ocean color imagery to </w:t>
      </w:r>
      <w:r w:rsidR="0057526B">
        <w:t>transport</w:t>
      </w:r>
      <w:r>
        <w:t xml:space="preserve"> phytoplankton populations </w:t>
      </w:r>
      <w:r w:rsidR="0057526B">
        <w:t>southward</w:t>
      </w:r>
      <w:r w:rsidR="0098651B">
        <w:t xml:space="preserve"> </w:t>
      </w:r>
      <w:r>
        <w:t xml:space="preserve">from </w:t>
      </w:r>
      <w:r w:rsidR="0098651B">
        <w:t>the</w:t>
      </w:r>
      <w:r>
        <w:t xml:space="preserve"> north</w:t>
      </w:r>
      <w:r w:rsidR="0098651B">
        <w:t xml:space="preserve">, and satellite SST suggests that outflow from </w:t>
      </w:r>
      <w:r>
        <w:t xml:space="preserve">the San Francisco Bay </w:t>
      </w:r>
      <w:r w:rsidR="0098651B">
        <w:t>contributes</w:t>
      </w:r>
      <w:r w:rsidR="00F05356">
        <w:t xml:space="preserve"> to this transport</w:t>
      </w:r>
      <w:r w:rsidR="0098651B">
        <w:t xml:space="preserve"> </w:t>
      </w:r>
      <w:r w:rsidR="00675093">
        <w:t xml:space="preserve">pathway </w:t>
      </w:r>
      <w:r w:rsidR="0098651B">
        <w:t>(</w:t>
      </w:r>
      <w:r>
        <w:t xml:space="preserve">Figure </w:t>
      </w:r>
      <w:proofErr w:type="spellStart"/>
      <w:r>
        <w:t>Xa</w:t>
      </w:r>
      <w:proofErr w:type="spellEnd"/>
      <w:r>
        <w:t xml:space="preserve">).  </w:t>
      </w:r>
      <w:r w:rsidR="0098651B">
        <w:t>Bloom</w:t>
      </w:r>
      <w:r w:rsidR="00166AAC">
        <w:t xml:space="preserve">s along this outer periphery </w:t>
      </w:r>
      <w:r w:rsidR="0098651B">
        <w:t xml:space="preserve">are also subject to </w:t>
      </w:r>
      <w:r w:rsidR="00675093">
        <w:t>strong</w:t>
      </w:r>
      <w:r w:rsidR="0098651B">
        <w:t xml:space="preserve"> dispersion by offshore transport and intense stirring and mixing that characterize the transition zone between coastal upwelling and the California Current.  In contrast, the zone inshore of </w:t>
      </w:r>
      <w:r w:rsidR="00675093">
        <w:t xml:space="preserve">the </w:t>
      </w:r>
      <w:proofErr w:type="spellStart"/>
      <w:r w:rsidR="00675093" w:rsidRPr="000E1A6F">
        <w:t>Año</w:t>
      </w:r>
      <w:proofErr w:type="spellEnd"/>
      <w:r w:rsidR="00675093" w:rsidRPr="000E1A6F">
        <w:t xml:space="preserve"> Nuevo</w:t>
      </w:r>
      <w:r w:rsidR="00675093">
        <w:t xml:space="preserve"> upwelling plume, within Monterey Bay, is more retentive and</w:t>
      </w:r>
      <w:r w:rsidR="0098651B">
        <w:t xml:space="preserve"> </w:t>
      </w:r>
      <w:r w:rsidR="00675093">
        <w:t>allows</w:t>
      </w:r>
      <w:r w:rsidR="00C3258B">
        <w:t xml:space="preserve"> resident phytoplankton populations to bloom in response episodic nutrient supply (Ryan et al., </w:t>
      </w:r>
      <w:r w:rsidR="00675093">
        <w:t xml:space="preserve">2011, </w:t>
      </w:r>
      <w:r w:rsidR="00C3258B">
        <w:t xml:space="preserve">2014b). </w:t>
      </w:r>
      <w:r w:rsidR="0057526B">
        <w:t xml:space="preserve"> </w:t>
      </w:r>
      <w:r w:rsidR="005056D6">
        <w:t>P</w:t>
      </w:r>
      <w:r w:rsidR="00675093">
        <w:t>hytoplankton blooming</w:t>
      </w:r>
      <w:r w:rsidR="00C3258B">
        <w:t xml:space="preserve"> both offshore and</w:t>
      </w:r>
      <w:r w:rsidR="005056D6">
        <w:t xml:space="preserve"> inshore of upwelling </w:t>
      </w:r>
      <w:r w:rsidR="00675093">
        <w:t>plumes</w:t>
      </w:r>
      <w:r w:rsidR="005056D6">
        <w:t xml:space="preserve"> depends upon the</w:t>
      </w:r>
      <w:r w:rsidR="00C3258B">
        <w:t xml:space="preserve"> exchange between </w:t>
      </w:r>
      <w:r w:rsidR="00166AAC">
        <w:t xml:space="preserve">weakly </w:t>
      </w:r>
      <w:r w:rsidR="00C3258B">
        <w:t>stratified nutrient source water and adjacent</w:t>
      </w:r>
      <w:r w:rsidR="00675093">
        <w:t xml:space="preserve"> environments that are</w:t>
      </w:r>
      <w:r w:rsidR="00C3258B">
        <w:t xml:space="preserve"> </w:t>
      </w:r>
      <w:r w:rsidR="00166AAC">
        <w:t>more strongly</w:t>
      </w:r>
      <w:r w:rsidR="00C3258B">
        <w:t xml:space="preserve"> stratified</w:t>
      </w:r>
      <w:r w:rsidR="005056D6">
        <w:t>.</w:t>
      </w:r>
      <w:r w:rsidR="00C3258B">
        <w:t xml:space="preserve"> </w:t>
      </w:r>
      <w:r w:rsidR="005056D6">
        <w:t xml:space="preserve"> </w:t>
      </w:r>
      <w:r w:rsidR="00C3258B">
        <w:t xml:space="preserve">This experiment aims to resolve these </w:t>
      </w:r>
      <w:r w:rsidR="005056D6">
        <w:t xml:space="preserve">exchange </w:t>
      </w:r>
      <w:r w:rsidR="00C3258B">
        <w:t xml:space="preserve">processes and characterize and contrast biological </w:t>
      </w:r>
      <w:r w:rsidR="005056D6">
        <w:t>communities and responses</w:t>
      </w:r>
      <w:r w:rsidR="00C3258B">
        <w:t xml:space="preserve"> across the </w:t>
      </w:r>
      <w:r w:rsidR="009714FD">
        <w:t>zones of upwelling</w:t>
      </w:r>
      <w:r w:rsidR="00C3258B">
        <w:t xml:space="preserve"> </w:t>
      </w:r>
      <w:r w:rsidR="009714FD">
        <w:t>influence</w:t>
      </w:r>
      <w:r w:rsidR="00C3258B">
        <w:t>.</w:t>
      </w:r>
      <w:r w:rsidR="009714FD">
        <w:t xml:space="preserve"> </w:t>
      </w:r>
    </w:p>
    <w:p w14:paraId="4FAF67D0" w14:textId="77777777" w:rsidR="009714FD" w:rsidRDefault="009714FD" w:rsidP="00AD74A7"/>
    <w:p w14:paraId="2CA504CC" w14:textId="68B54807" w:rsidR="00166AAC" w:rsidRDefault="00716AB8">
      <w:r>
        <w:t xml:space="preserve">Consistent with </w:t>
      </w:r>
      <w:r w:rsidR="001142BA">
        <w:t>the</w:t>
      </w:r>
      <w:r>
        <w:t xml:space="preserve"> previous CANON/ECOHAB experiment in Monterey Bay during fall 2013, this experiment will </w:t>
      </w:r>
      <w:r w:rsidR="00F05356">
        <w:t>place</w:t>
      </w:r>
      <w:r w:rsidR="009714FD">
        <w:t xml:space="preserve"> persistent monitoring </w:t>
      </w:r>
      <w:r w:rsidR="00F05356">
        <w:t xml:space="preserve">by ESPs </w:t>
      </w:r>
      <w:r w:rsidR="009714FD">
        <w:t>in two bloom incubation zones of Monterey Bay (Figure</w:t>
      </w:r>
      <w:r w:rsidR="00F05356">
        <w:t xml:space="preserve"> </w:t>
      </w:r>
      <w:proofErr w:type="spellStart"/>
      <w:r w:rsidR="00F05356">
        <w:t>Xb</w:t>
      </w:r>
      <w:proofErr w:type="spellEnd"/>
      <w:r w:rsidR="00F05356">
        <w:t xml:space="preserve">).  </w:t>
      </w:r>
      <w:r>
        <w:t>ESPs de</w:t>
      </w:r>
      <w:r w:rsidR="00F05356">
        <w:t>pl</w:t>
      </w:r>
      <w:r w:rsidR="0057526B">
        <w:t>oyment</w:t>
      </w:r>
      <w:r w:rsidR="00F05356">
        <w:t xml:space="preserve"> from mid-May to mid-June establish</w:t>
      </w:r>
      <w:r w:rsidR="0057526B">
        <w:t>es</w:t>
      </w:r>
      <w:r w:rsidR="00F05356">
        <w:t xml:space="preserve"> a temporal framework</w:t>
      </w:r>
      <w:r w:rsidR="00166AAC">
        <w:t xml:space="preserve"> for the experiment (Figure Y)</w:t>
      </w:r>
      <w:r w:rsidR="0057526B">
        <w:t xml:space="preserve">. </w:t>
      </w:r>
    </w:p>
    <w:p w14:paraId="6881C51A" w14:textId="77777777" w:rsidR="006E533A" w:rsidRDefault="006E533A"/>
    <w:p w14:paraId="2BDCE81B" w14:textId="0EA87185" w:rsidR="006E533A" w:rsidRDefault="006E533A">
      <w:r>
        <w:rPr>
          <w:noProof/>
        </w:rPr>
        <w:drawing>
          <wp:inline distT="0" distB="0" distL="0" distR="0" wp14:anchorId="6F17AECA" wp14:editId="6BEDA968">
            <wp:extent cx="5943600" cy="17062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dule.jpg"/>
                    <pic:cNvPicPr/>
                  </pic:nvPicPr>
                  <pic:blipFill>
                    <a:blip r:embed="rId7">
                      <a:extLst>
                        <a:ext uri="{28A0092B-C50C-407E-A947-70E740481C1C}">
                          <a14:useLocalDpi xmlns:a14="http://schemas.microsoft.com/office/drawing/2010/main" val="0"/>
                        </a:ext>
                      </a:extLst>
                    </a:blip>
                    <a:stretch>
                      <a:fillRect/>
                    </a:stretch>
                  </pic:blipFill>
                  <pic:spPr>
                    <a:xfrm>
                      <a:off x="0" y="0"/>
                      <a:ext cx="5943600" cy="1706245"/>
                    </a:xfrm>
                    <a:prstGeom prst="rect">
                      <a:avLst/>
                    </a:prstGeom>
                  </pic:spPr>
                </pic:pic>
              </a:graphicData>
            </a:graphic>
          </wp:inline>
        </w:drawing>
      </w:r>
    </w:p>
    <w:p w14:paraId="5573730D" w14:textId="77777777" w:rsidR="006E533A" w:rsidRDefault="006E533A">
      <w:pPr>
        <w:rPr>
          <w:b/>
        </w:rPr>
      </w:pPr>
    </w:p>
    <w:p w14:paraId="45161039" w14:textId="0FF0550C" w:rsidR="00166AAC" w:rsidRDefault="006E533A">
      <w:r w:rsidRPr="006E533A">
        <w:rPr>
          <w:b/>
        </w:rPr>
        <w:t>Figure Y</w:t>
      </w:r>
      <w:r>
        <w:t xml:space="preserve">.  </w:t>
      </w:r>
      <w:proofErr w:type="gramStart"/>
      <w:r>
        <w:t>Schedule of asset</w:t>
      </w:r>
      <w:r w:rsidR="001D0261">
        <w:t xml:space="preserve"> deployment</w:t>
      </w:r>
      <w:r>
        <w:t>s for summer 2015 CANON/ECOHAB experiment.</w:t>
      </w:r>
      <w:proofErr w:type="gramEnd"/>
      <w:r w:rsidR="001D0261">
        <w:t xml:space="preserve">  Deployments of LRAUVs, Paragon and drifters will be adaptive in location and schedule. </w:t>
      </w:r>
    </w:p>
    <w:p w14:paraId="7A793152" w14:textId="77777777" w:rsidR="00166AAC" w:rsidRDefault="00166AAC"/>
    <w:p w14:paraId="7D6D5228" w14:textId="61BBB07A" w:rsidR="00CD3F3C" w:rsidRDefault="001142BA" w:rsidP="00CD3F3C">
      <w:r>
        <w:t>Gliders will be used for persistent environmental characterization throughout the experiment, including NPS Spray gliders that will monitor offshore conditions along the outer periphery of upwelling</w:t>
      </w:r>
      <w:r w:rsidR="009A2768">
        <w:t xml:space="preserve"> filaments</w:t>
      </w:r>
      <w:r>
        <w:t>, UCSC gliders that will monitor Monterey Bay</w:t>
      </w:r>
      <w:r w:rsidR="0027038E">
        <w:t>, and Wave Gliders that will observe at regional to frontal scales</w:t>
      </w:r>
      <w:r>
        <w:t xml:space="preserve"> (Figure </w:t>
      </w:r>
      <w:proofErr w:type="spellStart"/>
      <w:r>
        <w:t>Xb</w:t>
      </w:r>
      <w:proofErr w:type="spellEnd"/>
      <w:r>
        <w:t xml:space="preserve">). </w:t>
      </w:r>
      <w:r w:rsidR="00151A59">
        <w:t xml:space="preserve"> The endurance of LRAUVs will be applied for multiple purposes.  First, three LRAUVs will be used in coordination such that two (Tethys, Daphne) provide context for the third (Makai with G3 ESP).  Second, when conditions are appropriate</w:t>
      </w:r>
      <w:r>
        <w:t xml:space="preserve"> the d</w:t>
      </w:r>
      <w:r w:rsidR="00F05356">
        <w:t xml:space="preserve">ynamics of the </w:t>
      </w:r>
      <w:r>
        <w:t xml:space="preserve">upwelling filament </w:t>
      </w:r>
      <w:r w:rsidR="00F05356">
        <w:t>frontal zones will be resolved by LRAUVs running autonomous 4-D frontal tracking and mapping, a demonstrated capabi</w:t>
      </w:r>
      <w:r>
        <w:t xml:space="preserve">lity (Zhang et al., in prep.).  </w:t>
      </w:r>
      <w:r w:rsidR="000C1A28">
        <w:t xml:space="preserve">The white lines in Figure </w:t>
      </w:r>
      <w:proofErr w:type="spellStart"/>
      <w:r w:rsidR="000C1A28">
        <w:t>Xb</w:t>
      </w:r>
      <w:proofErr w:type="spellEnd"/>
      <w:r w:rsidR="000C1A28">
        <w:t xml:space="preserve"> identify the orientation of the front in the mean; frontal tracking uses </w:t>
      </w:r>
      <w:r w:rsidR="0057526B">
        <w:t xml:space="preserve">real-time </w:t>
      </w:r>
      <w:r w:rsidR="000C1A28">
        <w:t xml:space="preserve">to </w:t>
      </w:r>
      <w:r w:rsidR="0057526B">
        <w:t xml:space="preserve">detect </w:t>
      </w:r>
      <w:r w:rsidR="0057526B">
        <w:lastRenderedPageBreak/>
        <w:t xml:space="preserve">and </w:t>
      </w:r>
      <w:r w:rsidR="000C1A28">
        <w:t>map across frontal zones. The frontal identification</w:t>
      </w:r>
      <w:r>
        <w:t xml:space="preserve"> method (Zhang et al., 2012) has proven effective not only when weakly stratified upwelling filaments are present, but also during relaxation periods when </w:t>
      </w:r>
      <w:r w:rsidR="009A2768">
        <w:t xml:space="preserve">weakly stratified </w:t>
      </w:r>
      <w:r>
        <w:t>offshore waters flow toward the coa</w:t>
      </w:r>
      <w:r w:rsidR="009A2768">
        <w:t xml:space="preserve">st (Zhang et al., in prep., b).  </w:t>
      </w:r>
      <w:r w:rsidR="0057526B">
        <w:t>If conditions are favorable, this frontal tracking mode will be applied using all three LRAUVs, to focus biological and chemical sampling within</w:t>
      </w:r>
      <w:r w:rsidR="0027038E">
        <w:t xml:space="preserve"> the frontal zones </w:t>
      </w:r>
      <w:r w:rsidR="0057526B">
        <w:t>through</w:t>
      </w:r>
      <w:r w:rsidR="0027038E">
        <w:t xml:space="preserve"> which nutrient fluxes to the phytoplankton community are occurring. </w:t>
      </w:r>
      <w:r w:rsidR="00151A59">
        <w:t xml:space="preserve"> </w:t>
      </w:r>
      <w:r w:rsidR="009A2768">
        <w:t>The R/V Carson will serve as a collaborative hub for the CANON ECOHAB team during we</w:t>
      </w:r>
      <w:r w:rsidR="00B772D3">
        <w:t xml:space="preserve">ekly one-day (12 hour) cruises.  Deployed from the Carson, </w:t>
      </w:r>
      <w:r w:rsidR="009A2768">
        <w:t xml:space="preserve">the Dorado/Gulper AUV will provide </w:t>
      </w:r>
      <w:r w:rsidR="0027038E">
        <w:t xml:space="preserve">weekly </w:t>
      </w:r>
      <w:r w:rsidR="009A2768">
        <w:t xml:space="preserve">high-resolution mapping and targeted sampling across the bay, upwelling and offshore zones.  </w:t>
      </w:r>
      <w:r w:rsidR="00236924">
        <w:t xml:space="preserve">The 20-Gulper mid-section will be important for sufficient sampling resolution across the region.  With the relatively long Dorado section (60 km), we propose </w:t>
      </w:r>
      <w:r w:rsidR="00ED2B86">
        <w:t>an inbound</w:t>
      </w:r>
      <w:r w:rsidR="00236924">
        <w:t xml:space="preserve"> section timed to return </w:t>
      </w:r>
      <w:r w:rsidR="0027038E">
        <w:t xml:space="preserve">Dorado </w:t>
      </w:r>
      <w:r w:rsidR="00236924">
        <w:t>to Moss Landing for tow-in (</w:t>
      </w:r>
      <w:r w:rsidR="00ED2B86">
        <w:t xml:space="preserve">RHIB or </w:t>
      </w:r>
      <w:r w:rsidR="00236924">
        <w:t>Paragon) r</w:t>
      </w:r>
      <w:r w:rsidR="0027038E">
        <w:t xml:space="preserve">ecovery the following morning.  This mode of operation will allow dedication of most R/V Carson time to sampling the region between the </w:t>
      </w:r>
      <w:proofErr w:type="spellStart"/>
      <w:r w:rsidR="0027038E" w:rsidRPr="000E1A6F">
        <w:t>Año</w:t>
      </w:r>
      <w:proofErr w:type="spellEnd"/>
      <w:r w:rsidR="0027038E" w:rsidRPr="000E1A6F">
        <w:t xml:space="preserve"> Nuevo</w:t>
      </w:r>
      <w:r w:rsidR="0027038E">
        <w:t xml:space="preserve"> upwelling center and the northern bay.  The R/V John Martin will be used for two purposes: (1) to sample around the southern </w:t>
      </w:r>
      <w:r w:rsidR="00ED2B86">
        <w:t xml:space="preserve">bay and </w:t>
      </w:r>
      <w:r w:rsidR="0027038E">
        <w:t xml:space="preserve">ESP while </w:t>
      </w:r>
      <w:r w:rsidR="00ED2B86">
        <w:t xml:space="preserve">R/V </w:t>
      </w:r>
      <w:r w:rsidR="0027038E">
        <w:t>Carson operations are focused further north, and (2) to fill in temporal coverage aro</w:t>
      </w:r>
      <w:r w:rsidR="00ED2B86">
        <w:t>und the weekly Carson cruises.</w:t>
      </w:r>
    </w:p>
    <w:p w14:paraId="0EB30943" w14:textId="77777777" w:rsidR="0027038E" w:rsidRDefault="0027038E" w:rsidP="00CD3F3C"/>
    <w:p w14:paraId="05770F42" w14:textId="77777777" w:rsidR="0027038E" w:rsidRDefault="0027038E" w:rsidP="00CD3F3C"/>
    <w:sectPr w:rsidR="0027038E" w:rsidSect="00F031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40E7"/>
    <w:multiLevelType w:val="hybridMultilevel"/>
    <w:tmpl w:val="20106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C33E98"/>
    <w:multiLevelType w:val="hybridMultilevel"/>
    <w:tmpl w:val="23B8B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9E03D8"/>
    <w:multiLevelType w:val="hybridMultilevel"/>
    <w:tmpl w:val="4E080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753D66"/>
    <w:multiLevelType w:val="hybridMultilevel"/>
    <w:tmpl w:val="40100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195"/>
    <w:rsid w:val="000B1A77"/>
    <w:rsid w:val="000C1A28"/>
    <w:rsid w:val="000E1A6F"/>
    <w:rsid w:val="001142BA"/>
    <w:rsid w:val="00151A59"/>
    <w:rsid w:val="00166AAC"/>
    <w:rsid w:val="001D0261"/>
    <w:rsid w:val="002229B8"/>
    <w:rsid w:val="00236924"/>
    <w:rsid w:val="00254CD9"/>
    <w:rsid w:val="0027038E"/>
    <w:rsid w:val="00296503"/>
    <w:rsid w:val="002D2A2E"/>
    <w:rsid w:val="00366371"/>
    <w:rsid w:val="004202DE"/>
    <w:rsid w:val="00492756"/>
    <w:rsid w:val="005056D6"/>
    <w:rsid w:val="0057526B"/>
    <w:rsid w:val="00675093"/>
    <w:rsid w:val="00691F5F"/>
    <w:rsid w:val="006E3979"/>
    <w:rsid w:val="006E533A"/>
    <w:rsid w:val="00716AB8"/>
    <w:rsid w:val="00717E88"/>
    <w:rsid w:val="00721F8B"/>
    <w:rsid w:val="00822CAF"/>
    <w:rsid w:val="0083624F"/>
    <w:rsid w:val="00866CE9"/>
    <w:rsid w:val="009714FD"/>
    <w:rsid w:val="0098651B"/>
    <w:rsid w:val="009921E3"/>
    <w:rsid w:val="009A2768"/>
    <w:rsid w:val="00AD74A7"/>
    <w:rsid w:val="00B772D3"/>
    <w:rsid w:val="00C3258B"/>
    <w:rsid w:val="00C54571"/>
    <w:rsid w:val="00CD04F6"/>
    <w:rsid w:val="00CD3F3C"/>
    <w:rsid w:val="00DB456D"/>
    <w:rsid w:val="00ED2B86"/>
    <w:rsid w:val="00F03195"/>
    <w:rsid w:val="00F053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41EFD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9B8"/>
    <w:pPr>
      <w:ind w:left="720"/>
      <w:contextualSpacing/>
    </w:pPr>
  </w:style>
  <w:style w:type="paragraph" w:styleId="BalloonText">
    <w:name w:val="Balloon Text"/>
    <w:basedOn w:val="Normal"/>
    <w:link w:val="BalloonTextChar"/>
    <w:uiPriority w:val="99"/>
    <w:semiHidden/>
    <w:unhideWhenUsed/>
    <w:rsid w:val="00DB45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456D"/>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9B8"/>
    <w:pPr>
      <w:ind w:left="720"/>
      <w:contextualSpacing/>
    </w:pPr>
  </w:style>
  <w:style w:type="paragraph" w:styleId="BalloonText">
    <w:name w:val="Balloon Text"/>
    <w:basedOn w:val="Normal"/>
    <w:link w:val="BalloonTextChar"/>
    <w:uiPriority w:val="99"/>
    <w:semiHidden/>
    <w:unhideWhenUsed/>
    <w:rsid w:val="00DB456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456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Ryan</dc:creator>
  <cp:lastModifiedBy>hobson</cp:lastModifiedBy>
  <cp:revision>2</cp:revision>
  <dcterms:created xsi:type="dcterms:W3CDTF">2014-07-28T00:46:00Z</dcterms:created>
  <dcterms:modified xsi:type="dcterms:W3CDTF">2014-07-28T00:46:00Z</dcterms:modified>
</cp:coreProperties>
</file>