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B01" w:rsidRDefault="00DD2B01" w:rsidP="00DD2B01">
      <w:r>
        <w:t xml:space="preserve">MBARI’s Imaging Autonomous Underwater Vehicle (IAUV) is a 4000m depth </w:t>
      </w:r>
      <w:r w:rsidR="004C1D63">
        <w:t xml:space="preserve">rated, .53m diameter, </w:t>
      </w:r>
      <w:proofErr w:type="gramStart"/>
      <w:r w:rsidR="004C1D63">
        <w:t>3.5m</w:t>
      </w:r>
      <w:proofErr w:type="gramEnd"/>
      <w:r w:rsidR="004C1D63">
        <w:t xml:space="preserve"> long vehicle</w:t>
      </w:r>
      <w:r>
        <w:t xml:space="preserve"> capable of capturing high resolution color images of the seafloor and midwater animals.  The camera is capable of resolving features at 2 mm resolution from 3 m attitude across the 4.5 m wide field of view.  The AUV’s 5 kW-hr battery enables over 12 hours of endurance allowing tens of thousands of images to be captured along over 64 km of trackline in a single mission.  Two xenon strobes, spaced over a meter from the camera fire every 1.5 seconds and yield overlapping images while the AUV cruises at a speed of 1 m/s.  The IAUV can be configured for either benthic imaging or midwater imaging.  In the new midwater mode, the camera is tilted forward and both strobes are mounted near the front of the vehicle to image a 2 m</w:t>
      </w:r>
      <w:r>
        <w:rPr>
          <w:vertAlign w:val="superscript"/>
        </w:rPr>
        <w:t>3</w:t>
      </w:r>
      <w:r>
        <w:t xml:space="preserve"> sample box.  An automated system offloads the AUV data and the images are either manually annotated with MBARI’s Visual Annotation System (VARS) or processed with MBARI’s Automated Visual Event Detection (AVED) system to identify and catalog distinct features within the image.</w:t>
      </w:r>
    </w:p>
    <w:p w:rsidR="004C1D63" w:rsidRDefault="004C1D63"/>
    <w:sectPr w:rsidR="004C1D63" w:rsidSect="00A96B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2B01"/>
    <w:rsid w:val="004C1D63"/>
    <w:rsid w:val="007419CD"/>
    <w:rsid w:val="00A96B2B"/>
    <w:rsid w:val="00CB1C77"/>
    <w:rsid w:val="00D63026"/>
    <w:rsid w:val="00DD2B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B0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91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2011-01-04T20:32:00Z</dcterms:created>
  <dcterms:modified xsi:type="dcterms:W3CDTF">2011-01-05T16:48:00Z</dcterms:modified>
</cp:coreProperties>
</file>