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3AF" w:rsidRPr="006F22C4" w:rsidRDefault="005863AF" w:rsidP="00924095">
      <w:pPr>
        <w:rPr>
          <w:b/>
        </w:rPr>
      </w:pPr>
      <w:r w:rsidRPr="006F22C4">
        <w:rPr>
          <w:b/>
        </w:rPr>
        <w:t>Molecular probe strategies for CANON</w:t>
      </w:r>
    </w:p>
    <w:p w:rsidR="005863AF" w:rsidRDefault="005863AF" w:rsidP="00924095"/>
    <w:p w:rsidR="005863AF" w:rsidRDefault="005863AF" w:rsidP="00924095"/>
    <w:p w:rsidR="00924095" w:rsidRDefault="005863AF" w:rsidP="00924095">
      <w:r>
        <w:t>F</w:t>
      </w:r>
      <w:r w:rsidR="00924095">
        <w:t xml:space="preserve">or CANON, it would be useful to determine how microbial nitrogen metabolism changes along the ammonium plume, and determine how the microbial community (which is making, consuming and transforming the N) is changing. Changes in the microbial community may be direct (increases in nitrifying </w:t>
      </w:r>
      <w:proofErr w:type="spellStart"/>
      <w:r w:rsidR="00924095">
        <w:t>Archaea</w:t>
      </w:r>
      <w:proofErr w:type="spellEnd"/>
      <w:r w:rsidR="00924095">
        <w:t xml:space="preserve">) or indirect (changes in phytoplankton composition due to changes in nitrogen compounds, sources and other </w:t>
      </w:r>
      <w:proofErr w:type="spellStart"/>
      <w:r w:rsidR="00924095">
        <w:t>covarying</w:t>
      </w:r>
      <w:proofErr w:type="spellEnd"/>
      <w:r w:rsidR="00924095">
        <w:t xml:space="preserve"> factors).</w:t>
      </w:r>
    </w:p>
    <w:p w:rsidR="00924095" w:rsidRDefault="00924095"/>
    <w:p w:rsidR="00924095" w:rsidRDefault="00FA30BE">
      <w:r w:rsidRPr="006A5492">
        <w:rPr>
          <w:b/>
        </w:rPr>
        <w:t>On board ESP</w:t>
      </w:r>
      <w:r w:rsidR="00476616">
        <w:t>-assays for DNA only, detects presence of organisms and genes</w:t>
      </w:r>
    </w:p>
    <w:p w:rsidR="00FA30BE" w:rsidRDefault="00FA30BE">
      <w:proofErr w:type="spellStart"/>
      <w:proofErr w:type="gramStart"/>
      <w:r>
        <w:t>qPCR</w:t>
      </w:r>
      <w:proofErr w:type="spellEnd"/>
      <w:proofErr w:type="gramEnd"/>
      <w:r>
        <w:t xml:space="preserve"> for nitrifying </w:t>
      </w:r>
      <w:proofErr w:type="spellStart"/>
      <w:r>
        <w:t>Crenarchaeota</w:t>
      </w:r>
      <w:proofErr w:type="spellEnd"/>
      <w:r>
        <w:t xml:space="preserve"> and subgroups (i.e</w:t>
      </w:r>
      <w:r w:rsidR="005C5099">
        <w:t>.</w:t>
      </w:r>
      <w:r>
        <w:t xml:space="preserve"> </w:t>
      </w:r>
      <w:r w:rsidR="00F15848">
        <w:t xml:space="preserve">think of them as </w:t>
      </w:r>
      <w:r w:rsidR="005C5099">
        <w:t>“</w:t>
      </w:r>
      <w:r>
        <w:t>subspecies</w:t>
      </w:r>
      <w:r w:rsidR="005C5099">
        <w:t>”</w:t>
      </w:r>
      <w:r>
        <w:t>)</w:t>
      </w:r>
    </w:p>
    <w:p w:rsidR="00FA30BE" w:rsidRDefault="00FA30BE">
      <w:proofErr w:type="spellStart"/>
      <w:proofErr w:type="gramStart"/>
      <w:r>
        <w:t>qPCR</w:t>
      </w:r>
      <w:proofErr w:type="spellEnd"/>
      <w:proofErr w:type="gramEnd"/>
      <w:r>
        <w:t xml:space="preserve"> for different </w:t>
      </w:r>
      <w:proofErr w:type="spellStart"/>
      <w:r>
        <w:t>Synechococcus</w:t>
      </w:r>
      <w:proofErr w:type="spellEnd"/>
      <w:r>
        <w:t xml:space="preserve"> subgroups (different subspecies show responses to different environmental conditions-see </w:t>
      </w:r>
      <w:proofErr w:type="spellStart"/>
      <w:r>
        <w:t>Paerl</w:t>
      </w:r>
      <w:proofErr w:type="spellEnd"/>
      <w:r>
        <w:t xml:space="preserve"> et al.</w:t>
      </w:r>
      <w:r w:rsidR="005C5099">
        <w:t xml:space="preserve"> 2011</w:t>
      </w:r>
      <w:r w:rsidR="001B663F">
        <w:t xml:space="preserve">: </w:t>
      </w:r>
      <w:r w:rsidR="001B663F" w:rsidRPr="001B663F">
        <w:t>http://www.frontiersin.org/Aquatic_Microbiology/10.3389/fmicb.2011.00059/abstract</w:t>
      </w:r>
      <w:r>
        <w:t>)</w:t>
      </w:r>
    </w:p>
    <w:p w:rsidR="001732B6" w:rsidRDefault="001732B6">
      <w:proofErr w:type="spellStart"/>
      <w:proofErr w:type="gramStart"/>
      <w:r>
        <w:t>qPCR</w:t>
      </w:r>
      <w:proofErr w:type="spellEnd"/>
      <w:proofErr w:type="gramEnd"/>
      <w:r>
        <w:t xml:space="preserve"> for nitrogen fixing groups previously detected along this transect</w:t>
      </w:r>
    </w:p>
    <w:p w:rsidR="001B663F" w:rsidRDefault="006124C8">
      <w:r>
        <w:t xml:space="preserve">Moran lab </w:t>
      </w:r>
      <w:proofErr w:type="spellStart"/>
      <w:r>
        <w:t>dmdA</w:t>
      </w:r>
      <w:proofErr w:type="spellEnd"/>
      <w:r>
        <w:t xml:space="preserve">, </w:t>
      </w:r>
      <w:proofErr w:type="spellStart"/>
      <w:r>
        <w:t>dddP</w:t>
      </w:r>
      <w:proofErr w:type="spellEnd"/>
      <w:r>
        <w:t xml:space="preserve"> assays from SAR11 and </w:t>
      </w:r>
      <w:proofErr w:type="spellStart"/>
      <w:r>
        <w:t>Roseobacter</w:t>
      </w:r>
      <w:proofErr w:type="spellEnd"/>
      <w:r>
        <w:t xml:space="preserve">   </w:t>
      </w:r>
    </w:p>
    <w:p w:rsidR="00FA30BE" w:rsidRDefault="00FA30BE"/>
    <w:p w:rsidR="00476616" w:rsidRDefault="00476616">
      <w:r w:rsidRPr="006A5492">
        <w:rPr>
          <w:b/>
        </w:rPr>
        <w:t>In the laboratory</w:t>
      </w:r>
      <w:r>
        <w:t>-assays for RNA that reflect activity, provide information on how microbial community senses and responds to environment</w:t>
      </w:r>
    </w:p>
    <w:p w:rsidR="00476616" w:rsidRDefault="00476616">
      <w:proofErr w:type="spellStart"/>
      <w:proofErr w:type="gramStart"/>
      <w:r>
        <w:t>qRT</w:t>
      </w:r>
      <w:proofErr w:type="spellEnd"/>
      <w:proofErr w:type="gramEnd"/>
      <w:r>
        <w:t>-PCR for Nitrogen limitation genes (</w:t>
      </w:r>
      <w:proofErr w:type="spellStart"/>
      <w:r>
        <w:t>ntcA</w:t>
      </w:r>
      <w:proofErr w:type="spellEnd"/>
      <w:r>
        <w:t>, although interpretation might still be complicated), phosphorus limitation genes (</w:t>
      </w:r>
      <w:proofErr w:type="spellStart"/>
      <w:r>
        <w:t>pst</w:t>
      </w:r>
      <w:proofErr w:type="spellEnd"/>
      <w:r w:rsidR="006124C8">
        <w:t>,</w:t>
      </w:r>
      <w:r>
        <w:t xml:space="preserve"> pho</w:t>
      </w:r>
      <w:r w:rsidR="006124C8">
        <w:t xml:space="preserve">, </w:t>
      </w:r>
      <w:proofErr w:type="spellStart"/>
      <w:r w:rsidR="006124C8">
        <w:t>phnJ</w:t>
      </w:r>
      <w:proofErr w:type="spellEnd"/>
      <w:r>
        <w:t>)</w:t>
      </w:r>
    </w:p>
    <w:p w:rsidR="00FA30BE" w:rsidRDefault="00FA30BE"/>
    <w:p w:rsidR="00FA30BE" w:rsidRDefault="00FA30BE"/>
    <w:p w:rsidR="00FA30BE" w:rsidRDefault="00FA30BE"/>
    <w:p w:rsidR="00FA30BE" w:rsidRDefault="00FA30BE"/>
    <w:p w:rsidR="00FA30BE" w:rsidRDefault="00FA30BE"/>
    <w:p w:rsidR="00FA30BE" w:rsidRDefault="00FA30BE"/>
    <w:p w:rsidR="00924095" w:rsidRDefault="00924095">
      <w:r>
        <w:t>___________________________________________________________________</w:t>
      </w:r>
    </w:p>
    <w:p w:rsidR="00962533" w:rsidRDefault="00427080">
      <w:r>
        <w:t>Primer on molecular probe strategies and options</w:t>
      </w:r>
    </w:p>
    <w:p w:rsidR="00427080" w:rsidRDefault="00427080"/>
    <w:p w:rsidR="00427080" w:rsidRDefault="00427080"/>
    <w:p w:rsidR="00EA13B0" w:rsidRDefault="00EA13B0">
      <w:r>
        <w:t>Molecular probes are commonly referred to as the means of detecting a specific nucleotide sequence. This provides the ability to detect a specific organism, a group of organisms, or a specific gene (</w:t>
      </w:r>
      <w:r w:rsidR="006124C8">
        <w:t>indicating the genetic potential for “function X”, from a</w:t>
      </w:r>
      <w:r>
        <w:t xml:space="preserve"> specific </w:t>
      </w:r>
      <w:r w:rsidR="00AD1F4D">
        <w:t>species</w:t>
      </w:r>
      <w:r>
        <w:t>) or a family of genes (</w:t>
      </w:r>
      <w:r w:rsidR="006124C8">
        <w:t xml:space="preserve">indicating the genetic potential for “function X” </w:t>
      </w:r>
      <w:r>
        <w:t xml:space="preserve">from different </w:t>
      </w:r>
      <w:r w:rsidR="00AD1F4D">
        <w:t>species</w:t>
      </w:r>
      <w:r>
        <w:t>).</w:t>
      </w:r>
    </w:p>
    <w:p w:rsidR="00EA13B0" w:rsidRDefault="00EA13B0"/>
    <w:p w:rsidR="00CC7370" w:rsidRDefault="00EA13B0">
      <w:r>
        <w:t xml:space="preserve">We have </w:t>
      </w:r>
      <w:r w:rsidR="00CC7370">
        <w:t>several</w:t>
      </w:r>
      <w:r>
        <w:t xml:space="preserve"> ways of implementation for CANON: quantitative PCR on the ESP, </w:t>
      </w:r>
      <w:r w:rsidR="00CC7370">
        <w:t>shipboard assays (</w:t>
      </w:r>
      <w:r w:rsidR="00AD1F4D">
        <w:t>high-throughput</w:t>
      </w:r>
      <w:r w:rsidR="00CC7370">
        <w:t xml:space="preserve"> quantitative </w:t>
      </w:r>
      <w:proofErr w:type="spellStart"/>
      <w:r w:rsidR="00CC7370">
        <w:t>qPCR</w:t>
      </w:r>
      <w:proofErr w:type="spellEnd"/>
      <w:r w:rsidR="00CC7370">
        <w:t xml:space="preserve"> or RT-PCR), and sample collection for laboratory pro</w:t>
      </w:r>
      <w:r w:rsidR="00CC0384">
        <w:t xml:space="preserve">cessing by </w:t>
      </w:r>
      <w:proofErr w:type="spellStart"/>
      <w:r w:rsidR="00CC0384">
        <w:t>qPCR</w:t>
      </w:r>
      <w:proofErr w:type="spellEnd"/>
      <w:r w:rsidR="00CC0384">
        <w:t xml:space="preserve"> or microarrays.</w:t>
      </w:r>
    </w:p>
    <w:p w:rsidR="00EA13B0" w:rsidRDefault="00EA13B0"/>
    <w:p w:rsidR="00D179D2" w:rsidRDefault="00D179D2">
      <w:r>
        <w:t xml:space="preserve">We have a number of </w:t>
      </w:r>
      <w:proofErr w:type="spellStart"/>
      <w:r>
        <w:t>qPCR</w:t>
      </w:r>
      <w:proofErr w:type="spellEnd"/>
      <w:r>
        <w:t xml:space="preserve"> “probes” that can be implemented on the ESP. They provide two types </w:t>
      </w:r>
      <w:r w:rsidR="00AF35D5">
        <w:t>of information (</w:t>
      </w:r>
      <w:r>
        <w:t>at this point): The presence of a specific group of organism</w:t>
      </w:r>
      <w:r w:rsidR="00307365">
        <w:t>s</w:t>
      </w:r>
      <w:r>
        <w:t xml:space="preserve"> or the change in specific subgroups of organisms. </w:t>
      </w:r>
    </w:p>
    <w:p w:rsidR="00427080" w:rsidRDefault="00427080"/>
    <w:p w:rsidR="00AF35D5" w:rsidRDefault="00AF35D5"/>
    <w:p w:rsidR="00AF35D5" w:rsidRDefault="00AF35D5"/>
    <w:p w:rsidR="00427080" w:rsidRDefault="00D179D2">
      <w:r>
        <w:t>_______________________________________________________________________________</w:t>
      </w:r>
    </w:p>
    <w:p w:rsidR="00427080" w:rsidRDefault="00427080">
      <w:proofErr w:type="spellStart"/>
      <w:proofErr w:type="gramStart"/>
      <w:r>
        <w:t>qPCR</w:t>
      </w:r>
      <w:proofErr w:type="spellEnd"/>
      <w:proofErr w:type="gramEnd"/>
      <w:r w:rsidR="00897A07">
        <w:t>: Detection of a specific gene sequence in DNA. Provides information that the organism is there, and/or that the genes for a process (e.g. nitrification) are there. Can be done on the ESP or in the lab.</w:t>
      </w:r>
    </w:p>
    <w:p w:rsidR="00427080" w:rsidRDefault="00427080"/>
    <w:p w:rsidR="00FA2734" w:rsidRDefault="00427080" w:rsidP="00FA2734">
      <w:proofErr w:type="spellStart"/>
      <w:proofErr w:type="gramStart"/>
      <w:r>
        <w:t>qRT</w:t>
      </w:r>
      <w:proofErr w:type="spellEnd"/>
      <w:proofErr w:type="gramEnd"/>
      <w:r>
        <w:t>-PCR</w:t>
      </w:r>
      <w:r w:rsidR="00FA2734">
        <w:t xml:space="preserve">: Detection of a specific gene sequence in messenger RNA. Provides information that the organism is there and that it is actively transcribing the DNA into messenger RNA (the precursor for protein), and </w:t>
      </w:r>
      <w:r w:rsidR="00AD1F4D">
        <w:t>serves as</w:t>
      </w:r>
      <w:r w:rsidR="00FA2734">
        <w:t xml:space="preserve"> an indication that the organism and gene are not only there, but that the organism is alive and that the specific gene is turned on. </w:t>
      </w:r>
      <w:r w:rsidR="004B250B">
        <w:t xml:space="preserve">Since many genes are </w:t>
      </w:r>
      <w:r w:rsidR="00AD1F4D">
        <w:t xml:space="preserve">tightly </w:t>
      </w:r>
      <w:r w:rsidR="004B250B">
        <w:t xml:space="preserve">regulated this can, but not necessarily, mean that the organism is actively engaged in the process </w:t>
      </w:r>
      <w:bookmarkStart w:id="0" w:name="_GoBack"/>
      <w:bookmarkEnd w:id="0"/>
      <w:r w:rsidR="004B250B">
        <w:t>(e.g. nitrification, nitrogen fixation).</w:t>
      </w:r>
      <w:r w:rsidR="00E25DF4">
        <w:t xml:space="preserve"> Cannot currently do on the ESP.</w:t>
      </w:r>
    </w:p>
    <w:p w:rsidR="00427080" w:rsidRDefault="00427080"/>
    <w:p w:rsidR="00E25DF4" w:rsidRDefault="00E25DF4" w:rsidP="00E25DF4">
      <w:r>
        <w:t xml:space="preserve">Microarrays: </w:t>
      </w:r>
      <w:r w:rsidR="00AD1F4D">
        <w:t xml:space="preserve">Similar to the </w:t>
      </w:r>
      <w:proofErr w:type="spellStart"/>
      <w:r w:rsidR="00AD1F4D">
        <w:t>Scholin</w:t>
      </w:r>
      <w:proofErr w:type="spellEnd"/>
      <w:r w:rsidR="00AD1F4D">
        <w:t xml:space="preserve"> lab’s ESP </w:t>
      </w:r>
      <w:proofErr w:type="spellStart"/>
      <w:r w:rsidR="00AD1F4D">
        <w:t>macroarrays</w:t>
      </w:r>
      <w:proofErr w:type="spellEnd"/>
      <w:r w:rsidR="00AD1F4D">
        <w:t>, but m</w:t>
      </w:r>
      <w:r>
        <w:t>icroarrays contain thousands of probes:</w:t>
      </w:r>
      <w:r w:rsidR="00AD1F4D">
        <w:t xml:space="preserve"> fixed </w:t>
      </w:r>
      <w:r>
        <w:t>nucleic acid</w:t>
      </w:r>
      <w:r w:rsidR="00AD1F4D">
        <w:t xml:space="preserve"> fragments</w:t>
      </w:r>
      <w:r>
        <w:t xml:space="preserve"> that contain a specific sequence of nucleotides so that they can only hybridize with an exactly, or nearly exactly, complementary piece of DNA or RNA. The different probes on our array detect viruses, cyanobacteria, bacteria, </w:t>
      </w:r>
      <w:proofErr w:type="spellStart"/>
      <w:r w:rsidR="00AD1F4D">
        <w:t>archaea</w:t>
      </w:r>
      <w:proofErr w:type="spellEnd"/>
      <w:r>
        <w:t>, and eukaryotic phytoplankton. The genes range from nitrogen and phosphorus acquisition genes, to nutrient limitation stress genes. This provides the most comprehensive picture of the microbial community, although its detection limit is somewhat higher (less sensitive). Cannot currently do on the ESP.</w:t>
      </w:r>
    </w:p>
    <w:p w:rsidR="00E25DF4" w:rsidRDefault="00E25DF4"/>
    <w:sectPr w:rsidR="00E25DF4" w:rsidSect="0096253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12A"/>
    <w:rsid w:val="000C031E"/>
    <w:rsid w:val="001732B6"/>
    <w:rsid w:val="001B663F"/>
    <w:rsid w:val="00307365"/>
    <w:rsid w:val="0037312A"/>
    <w:rsid w:val="00427080"/>
    <w:rsid w:val="00476616"/>
    <w:rsid w:val="004B250B"/>
    <w:rsid w:val="00562EE7"/>
    <w:rsid w:val="005863AF"/>
    <w:rsid w:val="005C5099"/>
    <w:rsid w:val="006124C8"/>
    <w:rsid w:val="006A5492"/>
    <w:rsid w:val="006F22C4"/>
    <w:rsid w:val="00897A07"/>
    <w:rsid w:val="00924095"/>
    <w:rsid w:val="00962533"/>
    <w:rsid w:val="00AD1F4D"/>
    <w:rsid w:val="00AF35D5"/>
    <w:rsid w:val="00CA1B5C"/>
    <w:rsid w:val="00CC0384"/>
    <w:rsid w:val="00CC7370"/>
    <w:rsid w:val="00D179D2"/>
    <w:rsid w:val="00E25DF4"/>
    <w:rsid w:val="00EA13B0"/>
    <w:rsid w:val="00EB1868"/>
    <w:rsid w:val="00F15848"/>
    <w:rsid w:val="00FA2734"/>
    <w:rsid w:val="00FA30B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5099"/>
    <w:rPr>
      <w:rFonts w:ascii="Lucida Grande" w:hAnsi="Lucida Grande"/>
      <w:sz w:val="18"/>
      <w:szCs w:val="18"/>
    </w:rPr>
  </w:style>
  <w:style w:type="character" w:customStyle="1" w:styleId="BalloonTextChar">
    <w:name w:val="Balloon Text Char"/>
    <w:basedOn w:val="DefaultParagraphFont"/>
    <w:link w:val="BalloonText"/>
    <w:uiPriority w:val="99"/>
    <w:semiHidden/>
    <w:rsid w:val="005C5099"/>
    <w:rPr>
      <w:rFonts w:ascii="Lucida Grande" w:hAnsi="Lucida Grande"/>
      <w:sz w:val="18"/>
      <w:szCs w:val="18"/>
    </w:rPr>
  </w:style>
  <w:style w:type="character" w:styleId="CommentReference">
    <w:name w:val="annotation reference"/>
    <w:basedOn w:val="DefaultParagraphFont"/>
    <w:uiPriority w:val="99"/>
    <w:semiHidden/>
    <w:unhideWhenUsed/>
    <w:rsid w:val="005C5099"/>
    <w:rPr>
      <w:sz w:val="18"/>
      <w:szCs w:val="18"/>
    </w:rPr>
  </w:style>
  <w:style w:type="paragraph" w:styleId="CommentText">
    <w:name w:val="annotation text"/>
    <w:basedOn w:val="Normal"/>
    <w:link w:val="CommentTextChar"/>
    <w:uiPriority w:val="99"/>
    <w:semiHidden/>
    <w:unhideWhenUsed/>
    <w:rsid w:val="005C5099"/>
  </w:style>
  <w:style w:type="character" w:customStyle="1" w:styleId="CommentTextChar">
    <w:name w:val="Comment Text Char"/>
    <w:basedOn w:val="DefaultParagraphFont"/>
    <w:link w:val="CommentText"/>
    <w:uiPriority w:val="99"/>
    <w:semiHidden/>
    <w:rsid w:val="005C5099"/>
  </w:style>
  <w:style w:type="paragraph" w:styleId="CommentSubject">
    <w:name w:val="annotation subject"/>
    <w:basedOn w:val="CommentText"/>
    <w:next w:val="CommentText"/>
    <w:link w:val="CommentSubjectChar"/>
    <w:uiPriority w:val="99"/>
    <w:semiHidden/>
    <w:unhideWhenUsed/>
    <w:rsid w:val="005C5099"/>
    <w:rPr>
      <w:b/>
      <w:bCs/>
      <w:sz w:val="20"/>
      <w:szCs w:val="20"/>
    </w:rPr>
  </w:style>
  <w:style w:type="character" w:customStyle="1" w:styleId="CommentSubjectChar">
    <w:name w:val="Comment Subject Char"/>
    <w:basedOn w:val="CommentTextChar"/>
    <w:link w:val="CommentSubject"/>
    <w:uiPriority w:val="99"/>
    <w:semiHidden/>
    <w:rsid w:val="005C5099"/>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5099"/>
    <w:rPr>
      <w:rFonts w:ascii="Lucida Grande" w:hAnsi="Lucida Grande"/>
      <w:sz w:val="18"/>
      <w:szCs w:val="18"/>
    </w:rPr>
  </w:style>
  <w:style w:type="character" w:customStyle="1" w:styleId="BalloonTextChar">
    <w:name w:val="Balloon Text Char"/>
    <w:basedOn w:val="DefaultParagraphFont"/>
    <w:link w:val="BalloonText"/>
    <w:uiPriority w:val="99"/>
    <w:semiHidden/>
    <w:rsid w:val="005C5099"/>
    <w:rPr>
      <w:rFonts w:ascii="Lucida Grande" w:hAnsi="Lucida Grande"/>
      <w:sz w:val="18"/>
      <w:szCs w:val="18"/>
    </w:rPr>
  </w:style>
  <w:style w:type="character" w:styleId="CommentReference">
    <w:name w:val="annotation reference"/>
    <w:basedOn w:val="DefaultParagraphFont"/>
    <w:uiPriority w:val="99"/>
    <w:semiHidden/>
    <w:unhideWhenUsed/>
    <w:rsid w:val="005C5099"/>
    <w:rPr>
      <w:sz w:val="18"/>
      <w:szCs w:val="18"/>
    </w:rPr>
  </w:style>
  <w:style w:type="paragraph" w:styleId="CommentText">
    <w:name w:val="annotation text"/>
    <w:basedOn w:val="Normal"/>
    <w:link w:val="CommentTextChar"/>
    <w:uiPriority w:val="99"/>
    <w:semiHidden/>
    <w:unhideWhenUsed/>
    <w:rsid w:val="005C5099"/>
  </w:style>
  <w:style w:type="character" w:customStyle="1" w:styleId="CommentTextChar">
    <w:name w:val="Comment Text Char"/>
    <w:basedOn w:val="DefaultParagraphFont"/>
    <w:link w:val="CommentText"/>
    <w:uiPriority w:val="99"/>
    <w:semiHidden/>
    <w:rsid w:val="005C5099"/>
  </w:style>
  <w:style w:type="paragraph" w:styleId="CommentSubject">
    <w:name w:val="annotation subject"/>
    <w:basedOn w:val="CommentText"/>
    <w:next w:val="CommentText"/>
    <w:link w:val="CommentSubjectChar"/>
    <w:uiPriority w:val="99"/>
    <w:semiHidden/>
    <w:unhideWhenUsed/>
    <w:rsid w:val="005C5099"/>
    <w:rPr>
      <w:b/>
      <w:bCs/>
      <w:sz w:val="20"/>
      <w:szCs w:val="20"/>
    </w:rPr>
  </w:style>
  <w:style w:type="character" w:customStyle="1" w:styleId="CommentSubjectChar">
    <w:name w:val="Comment Subject Char"/>
    <w:basedOn w:val="CommentTextChar"/>
    <w:link w:val="CommentSubject"/>
    <w:uiPriority w:val="99"/>
    <w:semiHidden/>
    <w:rsid w:val="005C50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3161</Characters>
  <Application>Microsoft Macintosh Word</Application>
  <DocSecurity>0</DocSecurity>
  <Lines>26</Lines>
  <Paragraphs>7</Paragraphs>
  <ScaleCrop>false</ScaleCrop>
  <Company>Univ. California</Company>
  <LinksUpToDate>false</LinksUpToDate>
  <CharactersWithSpaces>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2012-04-03T15:53:00Z</dcterms:created>
  <dcterms:modified xsi:type="dcterms:W3CDTF">2012-04-03T15:53:00Z</dcterms:modified>
</cp:coreProperties>
</file>