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39" w:rsidRDefault="003B78AB">
      <w:r>
        <w:t xml:space="preserve">SES </w:t>
      </w:r>
      <w:r w:rsidR="001A46D4">
        <w:t>Results</w:t>
      </w:r>
      <w:r>
        <w:t>:</w:t>
      </w:r>
    </w:p>
    <w:p w:rsidR="003B78AB" w:rsidRDefault="003B78AB"/>
    <w:p w:rsidR="003B78AB" w:rsidRDefault="003B78AB" w:rsidP="003B78AB">
      <w:pPr>
        <w:pStyle w:val="ListParagraph"/>
        <w:numPr>
          <w:ilvl w:val="0"/>
          <w:numId w:val="1"/>
        </w:numPr>
        <w:rPr>
          <w:i/>
        </w:rPr>
      </w:pPr>
      <w:r w:rsidRPr="003B78AB">
        <w:rPr>
          <w:i/>
        </w:rPr>
        <w:t>Integration time</w:t>
      </w:r>
    </w:p>
    <w:p w:rsidR="003B78AB" w:rsidRDefault="003B78AB" w:rsidP="003B78AB">
      <w:r>
        <w:t xml:space="preserve">We used a one-tailed Wilcoxon Mann Whitney test to evaluate whether longer integration times led to higher fluorescence </w:t>
      </w:r>
      <w:r w:rsidR="009A0749">
        <w:t>readings</w:t>
      </w:r>
      <w:r>
        <w:t xml:space="preserve">. Longer integration times led to higher readings (counts/s) </w:t>
      </w:r>
      <w:r w:rsidR="009A0749">
        <w:t xml:space="preserve">when </w:t>
      </w:r>
      <w:r>
        <w:t xml:space="preserve">fluorescence </w:t>
      </w:r>
      <w:r w:rsidR="009A0749">
        <w:t>target were small</w:t>
      </w:r>
      <w:r>
        <w:t xml:space="preserve"> (Supplemental figure 1)</w:t>
      </w:r>
      <w:r w:rsidR="001F18EF">
        <w:t xml:space="preserve">, although this difference was significant </w:t>
      </w:r>
      <w:r w:rsidR="00B80A00">
        <w:t xml:space="preserve">(α = 0.05) </w:t>
      </w:r>
      <w:r w:rsidR="001F18EF">
        <w:t>only for the 2.0 cm</w:t>
      </w:r>
      <w:r w:rsidR="001F18EF">
        <w:rPr>
          <w:vertAlign w:val="superscript"/>
        </w:rPr>
        <w:t xml:space="preserve">2 </w:t>
      </w:r>
      <w:r w:rsidR="001F18EF">
        <w:t>target at 590 nm</w:t>
      </w:r>
      <w:r>
        <w:t xml:space="preserve">. </w:t>
      </w:r>
      <w:r w:rsidR="009A0749">
        <w:t>Therefore we</w:t>
      </w:r>
      <w:r>
        <w:t xml:space="preserve"> </w:t>
      </w:r>
      <w:r w:rsidR="0062228C">
        <w:t>conservatively</w:t>
      </w:r>
      <w:r>
        <w:t xml:space="preserve"> </w:t>
      </w:r>
      <w:r w:rsidR="0062228C">
        <w:t xml:space="preserve">used </w:t>
      </w:r>
      <w:r>
        <w:t>a standardized integration time</w:t>
      </w:r>
      <w:r w:rsidR="005569BF">
        <w:t xml:space="preserve"> for </w:t>
      </w:r>
      <w:r w:rsidR="005B270B">
        <w:t>further</w:t>
      </w:r>
      <w:r w:rsidR="005569BF">
        <w:t xml:space="preserve"> analyses</w:t>
      </w:r>
      <w:r w:rsidR="0062228C">
        <w:t>, and f</w:t>
      </w:r>
      <w:r>
        <w:t>or simplicity</w:t>
      </w:r>
      <w:r w:rsidR="0062228C">
        <w:t xml:space="preserve"> chose 1 s.</w:t>
      </w:r>
    </w:p>
    <w:p w:rsidR="003B78AB" w:rsidRDefault="003B78AB" w:rsidP="003B78AB">
      <w:r>
        <w:object w:dxaOrig="6837" w:dyaOrig="5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65pt;height:252pt" o:ole="">
            <v:imagedata r:id="rId6" o:title=""/>
          </v:shape>
          <o:OLEObject Type="Embed" ProgID="SigmaPlotGraphicObject.9" ShapeID="_x0000_i1025" DrawAspect="Content" ObjectID="_1519639310" r:id="rId7"/>
        </w:object>
      </w:r>
    </w:p>
    <w:p w:rsidR="003B78AB" w:rsidRDefault="003B78AB" w:rsidP="003B78AB">
      <w:pPr>
        <w:rPr>
          <w:b/>
        </w:rPr>
      </w:pPr>
      <w:r w:rsidRPr="003B78AB">
        <w:rPr>
          <w:b/>
        </w:rPr>
        <w:t xml:space="preserve">Supplemental figure 1 </w:t>
      </w:r>
      <w:r>
        <w:rPr>
          <w:b/>
        </w:rPr>
        <w:t xml:space="preserve">Wilcoxon Mann Whitney </w:t>
      </w:r>
      <w:r w:rsidR="001F18EF">
        <w:rPr>
          <w:b/>
        </w:rPr>
        <w:t xml:space="preserve">on-tailed </w:t>
      </w:r>
      <w:r>
        <w:rPr>
          <w:b/>
        </w:rPr>
        <w:t>p-values comparing results (fluorescence counts/s) from 1 and 2 s integration times, for 590 and 690 nm wavelengths.</w:t>
      </w:r>
      <w:r w:rsidR="00065CB1">
        <w:rPr>
          <w:b/>
        </w:rPr>
        <w:t xml:space="preserve"> Dashed line is at p = 0.05.</w:t>
      </w:r>
    </w:p>
    <w:p w:rsidR="00771357" w:rsidRDefault="00771357" w:rsidP="003B78AB">
      <w:pPr>
        <w:rPr>
          <w:b/>
        </w:rPr>
      </w:pPr>
    </w:p>
    <w:p w:rsidR="00771357" w:rsidRDefault="00771357" w:rsidP="00771357">
      <w:pPr>
        <w:pStyle w:val="ListParagraph"/>
        <w:numPr>
          <w:ilvl w:val="0"/>
          <w:numId w:val="1"/>
        </w:numPr>
      </w:pPr>
      <w:r>
        <w:lastRenderedPageBreak/>
        <w:t>Readings</w:t>
      </w:r>
      <w:r>
        <w:rPr>
          <w:noProof/>
          <w:lang w:val="en-GB" w:eastAsia="en-GB"/>
        </w:rPr>
        <w:drawing>
          <wp:inline distT="0" distB="0" distL="0" distR="0">
            <wp:extent cx="5728335" cy="2904490"/>
            <wp:effectExtent l="0" t="0" r="5715" b="0"/>
            <wp:docPr id="1" name="Picture 1" descr="Y:\901027.SedimentationEventSensor\Data Analysis\Fluorometer Calibration\Readings 690 5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901027.SedimentationEventSensor\Data Analysis\Fluorometer Calibration\Readings 690 590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57" w:rsidRDefault="00771357" w:rsidP="00771357">
      <w:pPr>
        <w:pStyle w:val="ListParagraph"/>
        <w:numPr>
          <w:ilvl w:val="0"/>
          <w:numId w:val="1"/>
        </w:numPr>
      </w:pPr>
      <w:r>
        <w:t>Fig. 1 Fluorescen</w:t>
      </w:r>
      <w:r w:rsidR="00A31FBF">
        <w:t xml:space="preserve">ce </w:t>
      </w:r>
      <w:r>
        <w:t>readings (average ± standard error) for reference targets of varying size (</w:t>
      </w:r>
      <w:r w:rsidRPr="00771357">
        <w:rPr>
          <w:b/>
        </w:rPr>
        <w:t>give object material</w:t>
      </w:r>
      <w:r>
        <w:t>), based on a 1 s integration time. Open circles show readings at 590 nm, and black dots show readings at 690 nm.</w:t>
      </w:r>
    </w:p>
    <w:p w:rsidR="00771357" w:rsidRPr="001A46D4" w:rsidRDefault="00A31FBF" w:rsidP="00771357">
      <w:r>
        <w:t>Both the 590 nm and 690 nm f</w:t>
      </w:r>
      <w:r w:rsidR="00771357">
        <w:t>luorescen</w:t>
      </w:r>
      <w:r>
        <w:t xml:space="preserve">ce </w:t>
      </w:r>
      <w:r w:rsidR="00771357">
        <w:t xml:space="preserve">readings increased </w:t>
      </w:r>
      <w:bookmarkStart w:id="0" w:name="_GoBack"/>
      <w:bookmarkEnd w:id="0"/>
      <w:r w:rsidR="00771357">
        <w:t>with increasing amount of fluorescent material on the slide (Fig 1)</w:t>
      </w:r>
      <w:r w:rsidR="00B364F7">
        <w:t xml:space="preserve">. </w:t>
      </w:r>
      <w:r w:rsidR="001B0D6C">
        <w:t xml:space="preserve"> For the 690 band, </w:t>
      </w:r>
      <w:r w:rsidR="00DE089E">
        <w:t xml:space="preserve">fluorescent reading </w:t>
      </w:r>
      <w:proofErr w:type="gramStart"/>
      <w:r w:rsidR="00DE089E">
        <w:t xml:space="preserve">= </w:t>
      </w:r>
      <w:r w:rsidR="001B58D9">
        <w:t xml:space="preserve"> </w:t>
      </w:r>
      <w:r w:rsidR="000D67E4">
        <w:t>7.9757</w:t>
      </w:r>
      <w:proofErr w:type="gramEnd"/>
      <w:r w:rsidR="000D67E4">
        <w:t xml:space="preserve"> + 24.7191 x target area </w:t>
      </w:r>
      <w:r w:rsidR="001B58D9">
        <w:t>(R</w:t>
      </w:r>
      <w:r w:rsidR="001B58D9">
        <w:rPr>
          <w:vertAlign w:val="superscript"/>
        </w:rPr>
        <w:t>2</w:t>
      </w:r>
      <w:r w:rsidR="001B58D9">
        <w:t xml:space="preserve"> = 0.</w:t>
      </w:r>
      <w:r w:rsidR="000D67E4">
        <w:t>783</w:t>
      </w:r>
      <w:r w:rsidR="001B58D9">
        <w:t>).</w:t>
      </w:r>
      <w:r w:rsidR="00E45634">
        <w:t xml:space="preserve"> For the 590 </w:t>
      </w:r>
      <w:r w:rsidR="001A46D4">
        <w:t xml:space="preserve">nm </w:t>
      </w:r>
      <w:r w:rsidR="00E45634">
        <w:t xml:space="preserve">band, </w:t>
      </w:r>
      <w:r w:rsidR="00682198">
        <w:t xml:space="preserve">the linear relationship between fluorescence reading and target area is: </w:t>
      </w:r>
      <w:r w:rsidR="00E45634">
        <w:t>fluorescen</w:t>
      </w:r>
      <w:r w:rsidR="00682198">
        <w:t>ce</w:t>
      </w:r>
      <w:r w:rsidR="00E45634">
        <w:t xml:space="preserve"> reading = </w:t>
      </w:r>
      <w:r w:rsidR="000D67E4">
        <w:t>32.6781 + 13.2622 x target area</w:t>
      </w:r>
      <w:r w:rsidR="00DE2565">
        <w:t xml:space="preserve"> (R</w:t>
      </w:r>
      <w:r w:rsidR="00DE2565">
        <w:rPr>
          <w:vertAlign w:val="superscript"/>
        </w:rPr>
        <w:t>2</w:t>
      </w:r>
      <w:r w:rsidR="00DE2565">
        <w:t xml:space="preserve"> = </w:t>
      </w:r>
      <w:r w:rsidR="00DE2565" w:rsidRPr="00DE2565">
        <w:t>0.</w:t>
      </w:r>
      <w:r w:rsidR="000D67E4">
        <w:t>8395</w:t>
      </w:r>
      <w:r w:rsidR="00DE2565">
        <w:t>)</w:t>
      </w:r>
      <w:r>
        <w:t>.</w:t>
      </w:r>
      <w:r w:rsidR="001A46D4">
        <w:t xml:space="preserve"> </w:t>
      </w:r>
    </w:p>
    <w:p w:rsidR="001A46D4" w:rsidRDefault="001A46D4" w:rsidP="00771357"/>
    <w:p w:rsidR="001A46D4" w:rsidRDefault="001A46D4" w:rsidP="00771357">
      <w:r>
        <w:t>For discussion:</w:t>
      </w:r>
    </w:p>
    <w:p w:rsidR="001A46D4" w:rsidRPr="00DE2565" w:rsidRDefault="001A46D4" w:rsidP="00771357">
      <w:r>
        <w:t xml:space="preserve">The SES yielded higher fluorescence readings when there was greater coverage of fluorescent material on the slide. </w:t>
      </w:r>
      <w:r w:rsidR="0066544D">
        <w:t>The relationships between surface area and fluorescence counts</w:t>
      </w:r>
      <w:r w:rsidR="005D6B2E">
        <w:t xml:space="preserve"> of the 690 and 590 bands</w:t>
      </w:r>
      <w:r w:rsidR="0066544D">
        <w:t xml:space="preserve"> provided strong fits </w:t>
      </w:r>
      <w:r w:rsidR="005D6B2E">
        <w:t>for average measurements taken by the SES given the slide size.</w:t>
      </w:r>
      <w:r w:rsidR="00442C83">
        <w:t xml:space="preserve"> </w:t>
      </w:r>
      <w:r w:rsidR="00226098">
        <w:t xml:space="preserve"> </w:t>
      </w:r>
      <w:r w:rsidR="008326EF">
        <w:t>Fluorescence readings in t</w:t>
      </w:r>
      <w:r w:rsidR="00E93DF3">
        <w:t xml:space="preserve">he 590 band approached </w:t>
      </w:r>
      <w:r w:rsidR="00652790">
        <w:t>an asymptote</w:t>
      </w:r>
      <w:r w:rsidR="00E93DF3">
        <w:t xml:space="preserve"> when coverage was </w:t>
      </w:r>
      <w:r w:rsidR="0078741D">
        <w:t xml:space="preserve">approximately </w:t>
      </w:r>
      <w:r w:rsidR="00E93DF3">
        <w:t>3 cm and greater.</w:t>
      </w:r>
      <w:r w:rsidR="0078741D">
        <w:t xml:space="preserve"> </w:t>
      </w:r>
      <w:r w:rsidR="00B3301A">
        <w:t xml:space="preserve">The 590 band also yielded </w:t>
      </w:r>
      <w:r w:rsidR="008326EF">
        <w:t xml:space="preserve">variable </w:t>
      </w:r>
      <w:r w:rsidR="00B3301A">
        <w:t xml:space="preserve">background readings when </w:t>
      </w:r>
      <w:r w:rsidR="008326EF">
        <w:t xml:space="preserve">there was no reference material on the slide. </w:t>
      </w:r>
      <w:r w:rsidR="00900737">
        <w:t xml:space="preserve">We therefore recommend interpreting readings of the 590 band with caution when particle coverage </w:t>
      </w:r>
      <w:r w:rsidR="005D6B2E">
        <w:t xml:space="preserve">is lower than 20% or </w:t>
      </w:r>
      <w:r w:rsidR="00900737">
        <w:t>exceeds 60 % of the slide.</w:t>
      </w:r>
      <w:r w:rsidR="00D03414">
        <w:t xml:space="preserve"> </w:t>
      </w:r>
      <w:r w:rsidR="001D0360">
        <w:t>By contrast fluorescence readings in the 690 band consistently increased with target area for slide coverage up to 4 cm.</w:t>
      </w:r>
    </w:p>
    <w:sectPr w:rsidR="001A46D4" w:rsidRPr="00DE25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622"/>
    <w:multiLevelType w:val="hybridMultilevel"/>
    <w:tmpl w:val="271A93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AB"/>
    <w:rsid w:val="00065CB1"/>
    <w:rsid w:val="000D67E4"/>
    <w:rsid w:val="001A46D4"/>
    <w:rsid w:val="001B0D6C"/>
    <w:rsid w:val="001B58D9"/>
    <w:rsid w:val="001D0360"/>
    <w:rsid w:val="001F18EF"/>
    <w:rsid w:val="00200939"/>
    <w:rsid w:val="00226098"/>
    <w:rsid w:val="003B78AB"/>
    <w:rsid w:val="00442C83"/>
    <w:rsid w:val="005569BF"/>
    <w:rsid w:val="005B270B"/>
    <w:rsid w:val="005D6B2E"/>
    <w:rsid w:val="0062228C"/>
    <w:rsid w:val="00652790"/>
    <w:rsid w:val="00654D96"/>
    <w:rsid w:val="0066544D"/>
    <w:rsid w:val="00682198"/>
    <w:rsid w:val="006A290E"/>
    <w:rsid w:val="00771357"/>
    <w:rsid w:val="0078741D"/>
    <w:rsid w:val="008326EF"/>
    <w:rsid w:val="008808C9"/>
    <w:rsid w:val="00900737"/>
    <w:rsid w:val="009A0749"/>
    <w:rsid w:val="00A31FBF"/>
    <w:rsid w:val="00B3301A"/>
    <w:rsid w:val="00B364F7"/>
    <w:rsid w:val="00B80A00"/>
    <w:rsid w:val="00CB0FB7"/>
    <w:rsid w:val="00CC3CD8"/>
    <w:rsid w:val="00D03414"/>
    <w:rsid w:val="00DE089E"/>
    <w:rsid w:val="00DE2565"/>
    <w:rsid w:val="00E45634"/>
    <w:rsid w:val="00E93DF3"/>
    <w:rsid w:val="00E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8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35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8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35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31</cp:revision>
  <dcterms:created xsi:type="dcterms:W3CDTF">2016-02-25T01:03:00Z</dcterms:created>
  <dcterms:modified xsi:type="dcterms:W3CDTF">2016-03-16T20:15:00Z</dcterms:modified>
</cp:coreProperties>
</file>