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504E0" w14:textId="77777777" w:rsidR="00A96232" w:rsidRDefault="00A96232" w:rsidP="00A96232">
      <w:pPr>
        <w:widowControl w:val="0"/>
        <w:autoSpaceDE w:val="0"/>
        <w:autoSpaceDN w:val="0"/>
        <w:adjustRightInd w:val="0"/>
        <w:rPr>
          <w:rFonts w:ascii="Helvetica Neue" w:hAnsi="Helvetica Neue" w:cs="Helvetica Neue"/>
          <w:sz w:val="96"/>
          <w:szCs w:val="96"/>
        </w:rPr>
      </w:pPr>
      <w:r>
        <w:rPr>
          <w:rFonts w:ascii="Helvetica Neue" w:hAnsi="Helvetica Neue" w:cs="Helvetica Neue"/>
          <w:b/>
          <w:bCs/>
          <w:sz w:val="72"/>
          <w:szCs w:val="72"/>
        </w:rPr>
        <w:t>Introduction</w:t>
      </w:r>
    </w:p>
    <w:p w14:paraId="2A18CDD5" w14:textId="77777777" w:rsidR="003862C2" w:rsidRDefault="00A96232" w:rsidP="00A96232">
      <w:pPr>
        <w:rPr>
          <w:rFonts w:ascii="Times" w:hAnsi="Times" w:cs="Times"/>
          <w:sz w:val="48"/>
          <w:szCs w:val="48"/>
        </w:rPr>
      </w:pPr>
      <w:r>
        <w:rPr>
          <w:rFonts w:ascii="Times" w:hAnsi="Times" w:cs="Times"/>
          <w:sz w:val="48"/>
          <w:szCs w:val="48"/>
        </w:rPr>
        <w:t xml:space="preserve">Measuring the quantity and composition of sinking particulate matter reaching the deep sea is critical to understanding the biogeochemistry of the ocean. Typically, sinking particles are measured from samples collected and preserved in situ by sequencing sediment traps, which are limited by a small number of sample bottles. The Sedimentation Event Sensor (SES, Fig. 1) is a new sediment trap that analyzes up to 6200 samples in situ, and can operate autonomously for a year between servicing. The SES captures macro images of each sample to provide detailed views of detritus, </w:t>
      </w:r>
      <w:proofErr w:type="spellStart"/>
      <w:r>
        <w:rPr>
          <w:rFonts w:ascii="Times" w:hAnsi="Times" w:cs="Times"/>
          <w:sz w:val="48"/>
          <w:szCs w:val="48"/>
        </w:rPr>
        <w:t>exu</w:t>
      </w:r>
      <w:bookmarkStart w:id="0" w:name="_GoBack"/>
      <w:bookmarkEnd w:id="0"/>
      <w:r>
        <w:rPr>
          <w:rFonts w:ascii="Times" w:hAnsi="Times" w:cs="Times"/>
          <w:sz w:val="48"/>
          <w:szCs w:val="48"/>
        </w:rPr>
        <w:t>viae</w:t>
      </w:r>
      <w:proofErr w:type="spellEnd"/>
      <w:r>
        <w:rPr>
          <w:rFonts w:ascii="Times" w:hAnsi="Times" w:cs="Times"/>
          <w:sz w:val="48"/>
          <w:szCs w:val="48"/>
        </w:rPr>
        <w:t xml:space="preserve"> and fecal pellets. Fluorometric measurements taken at 590 nm and 690 nm bands provide estimates of the presence of chlorophyll </w:t>
      </w:r>
      <w:r>
        <w:rPr>
          <w:rFonts w:ascii="Times" w:hAnsi="Times" w:cs="Times"/>
          <w:i/>
          <w:iCs/>
          <w:sz w:val="48"/>
          <w:szCs w:val="48"/>
        </w:rPr>
        <w:t>a</w:t>
      </w:r>
      <w:r>
        <w:rPr>
          <w:rFonts w:ascii="Times" w:hAnsi="Times" w:cs="Times"/>
          <w:sz w:val="48"/>
          <w:szCs w:val="48"/>
        </w:rPr>
        <w:t xml:space="preserve"> and accessory pigments. A detailed technical description of the SES is in McGill, et al. 2016.</w:t>
      </w:r>
    </w:p>
    <w:p w14:paraId="149D30A9" w14:textId="77777777" w:rsidR="00A96232" w:rsidRDefault="00A96232" w:rsidP="00A96232">
      <w:pPr>
        <w:rPr>
          <w:rFonts w:ascii="Times" w:hAnsi="Times" w:cs="Times"/>
          <w:sz w:val="48"/>
          <w:szCs w:val="48"/>
        </w:rPr>
      </w:pPr>
    </w:p>
    <w:p w14:paraId="6D60736C" w14:textId="77777777" w:rsidR="00A96232" w:rsidRDefault="00A96232" w:rsidP="00A96232">
      <w:r>
        <w:rPr>
          <w:noProof/>
        </w:rPr>
        <w:drawing>
          <wp:inline distT="0" distB="0" distL="0" distR="0" wp14:anchorId="455997F1" wp14:editId="1926DEAE">
            <wp:extent cx="8191500" cy="5753100"/>
            <wp:effectExtent l="0" t="0" r="1270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0" cy="5753100"/>
                    </a:xfrm>
                    <a:prstGeom prst="rect">
                      <a:avLst/>
                    </a:prstGeom>
                    <a:noFill/>
                    <a:ln>
                      <a:noFill/>
                    </a:ln>
                  </pic:spPr>
                </pic:pic>
              </a:graphicData>
            </a:graphic>
          </wp:inline>
        </w:drawing>
      </w:r>
    </w:p>
    <w:p w14:paraId="2838E0A2" w14:textId="77777777" w:rsidR="00A96232" w:rsidRDefault="00A96232" w:rsidP="00A96232"/>
    <w:p w14:paraId="290E7DFF" w14:textId="77777777" w:rsidR="00A96232" w:rsidRDefault="00A96232" w:rsidP="00A96232">
      <w:r>
        <w:rPr>
          <w:noProof/>
        </w:rPr>
        <w:drawing>
          <wp:inline distT="0" distB="0" distL="0" distR="0" wp14:anchorId="033982CB" wp14:editId="505B6775">
            <wp:extent cx="8140700" cy="8064500"/>
            <wp:effectExtent l="0" t="0" r="1270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40700" cy="8064500"/>
                    </a:xfrm>
                    <a:prstGeom prst="rect">
                      <a:avLst/>
                    </a:prstGeom>
                    <a:noFill/>
                    <a:ln>
                      <a:noFill/>
                    </a:ln>
                  </pic:spPr>
                </pic:pic>
              </a:graphicData>
            </a:graphic>
          </wp:inline>
        </w:drawing>
      </w:r>
    </w:p>
    <w:p w14:paraId="2C045CA1" w14:textId="77777777" w:rsidR="00A96232" w:rsidRDefault="00A96232" w:rsidP="00A96232"/>
    <w:p w14:paraId="3E6260C8" w14:textId="77777777" w:rsidR="00A96232" w:rsidRDefault="00A96232" w:rsidP="00A96232">
      <w:pPr>
        <w:widowControl w:val="0"/>
        <w:autoSpaceDE w:val="0"/>
        <w:autoSpaceDN w:val="0"/>
        <w:adjustRightInd w:val="0"/>
        <w:rPr>
          <w:rFonts w:ascii="Helvetica Neue" w:hAnsi="Helvetica Neue" w:cs="Helvetica Neue"/>
          <w:sz w:val="96"/>
          <w:szCs w:val="96"/>
        </w:rPr>
      </w:pPr>
      <w:r>
        <w:rPr>
          <w:rFonts w:ascii="Helvetica Neue" w:hAnsi="Helvetica Neue" w:cs="Helvetica Neue"/>
          <w:b/>
          <w:bCs/>
          <w:sz w:val="72"/>
          <w:szCs w:val="72"/>
        </w:rPr>
        <w:t>Long-term variability</w:t>
      </w:r>
    </w:p>
    <w:p w14:paraId="5F27BFC2" w14:textId="77777777" w:rsidR="00A96232" w:rsidRDefault="00A96232" w:rsidP="00A96232">
      <w:pPr>
        <w:widowControl w:val="0"/>
        <w:autoSpaceDE w:val="0"/>
        <w:autoSpaceDN w:val="0"/>
        <w:adjustRightInd w:val="0"/>
        <w:rPr>
          <w:rFonts w:ascii="Times" w:hAnsi="Times" w:cs="Times"/>
          <w:sz w:val="48"/>
          <w:szCs w:val="48"/>
        </w:rPr>
      </w:pPr>
      <w:r>
        <w:rPr>
          <w:rFonts w:ascii="Times" w:hAnsi="Times" w:cs="Times"/>
          <w:sz w:val="48"/>
          <w:szCs w:val="48"/>
        </w:rPr>
        <w:t>Images from the SES macro camera contain a lot of detail and can be used to quantify the size distribution and composition of collected sediment. However, in lieu of a detailed analysis of every image, we are able to obtain a rough estimate of the quantity of collected material by measuring the brightness of each backlit image compared to an empty sample plate. This technique effectively uses the SES as an integrating transmissometer. These sediment quantity data, along with the measurements of fluorescence at 690 nm, are plotted in Figure 3. The 6,730 samples shown were collected between June of 2012 and November of 2016 at 3910 m depth at Station M (34° 50' N, 123° 00' W), a long-term study site located 220 km offshore of the central California coast (Smith et al. 2013).</w:t>
      </w:r>
    </w:p>
    <w:p w14:paraId="12F44CEC" w14:textId="77777777" w:rsidR="00A96232" w:rsidRDefault="00A96232" w:rsidP="00A96232">
      <w:pPr>
        <w:widowControl w:val="0"/>
        <w:autoSpaceDE w:val="0"/>
        <w:autoSpaceDN w:val="0"/>
        <w:adjustRightInd w:val="0"/>
        <w:rPr>
          <w:rFonts w:ascii="Times" w:hAnsi="Times" w:cs="Times"/>
          <w:sz w:val="48"/>
          <w:szCs w:val="48"/>
        </w:rPr>
      </w:pPr>
    </w:p>
    <w:p w14:paraId="4137AC3C" w14:textId="77777777" w:rsidR="00A96232" w:rsidRDefault="00A96232" w:rsidP="00A96232">
      <w:pPr>
        <w:rPr>
          <w:rFonts w:ascii="Times" w:hAnsi="Times" w:cs="Times"/>
          <w:sz w:val="48"/>
          <w:szCs w:val="48"/>
        </w:rPr>
      </w:pPr>
      <w:r>
        <w:rPr>
          <w:rFonts w:ascii="Times" w:hAnsi="Times" w:cs="Times"/>
          <w:sz w:val="48"/>
          <w:szCs w:val="48"/>
        </w:rPr>
        <w:t xml:space="preserve">The plots show the seasonal variation in the quantity of material reaching abyssal depths, with most of it arriving during the summer months. There is typically a big pulse in spring, followed by elevated activity and then a second pulse later in the summer. </w:t>
      </w:r>
      <w:proofErr w:type="gramStart"/>
      <w:r>
        <w:rPr>
          <w:rFonts w:ascii="Times" w:hAnsi="Times" w:cs="Times"/>
          <w:sz w:val="48"/>
          <w:szCs w:val="48"/>
        </w:rPr>
        <w:t>Sedimentation rates measured by the SES compare favorably with those measured by carbon analysis of traditional sequencing sediment traps, but with the SES providing much higher time resolution.</w:t>
      </w:r>
      <w:proofErr w:type="gramEnd"/>
    </w:p>
    <w:p w14:paraId="0FD763F9" w14:textId="77777777" w:rsidR="00A96232" w:rsidRDefault="00A96232" w:rsidP="00A96232">
      <w:pPr>
        <w:rPr>
          <w:rFonts w:ascii="Times" w:hAnsi="Times" w:cs="Times"/>
          <w:sz w:val="48"/>
          <w:szCs w:val="48"/>
        </w:rPr>
      </w:pPr>
    </w:p>
    <w:p w14:paraId="552309B1" w14:textId="77777777" w:rsidR="00570833" w:rsidRDefault="00570833" w:rsidP="00A96232">
      <w:r>
        <w:rPr>
          <w:rFonts w:ascii="Helvetica" w:hAnsi="Helvetica" w:cs="Helvetica"/>
          <w:noProof/>
        </w:rPr>
        <w:drawing>
          <wp:inline distT="0" distB="0" distL="0" distR="0" wp14:anchorId="5D9CD8CF" wp14:editId="65365DDB">
            <wp:extent cx="6400800" cy="6400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00800" cy="6400800"/>
                    </a:xfrm>
                    <a:prstGeom prst="rect">
                      <a:avLst/>
                    </a:prstGeom>
                    <a:noFill/>
                    <a:ln>
                      <a:noFill/>
                    </a:ln>
                  </pic:spPr>
                </pic:pic>
              </a:graphicData>
            </a:graphic>
          </wp:inline>
        </w:drawing>
      </w:r>
    </w:p>
    <w:p w14:paraId="3C37BB05" w14:textId="77777777" w:rsidR="00570833" w:rsidRDefault="00570833" w:rsidP="00A96232">
      <w:r>
        <w:rPr>
          <w:noProof/>
        </w:rPr>
        <w:drawing>
          <wp:inline distT="0" distB="0" distL="0" distR="0" wp14:anchorId="71BB8089" wp14:editId="413EE9C7">
            <wp:extent cx="9055100" cy="50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55100" cy="508000"/>
                    </a:xfrm>
                    <a:prstGeom prst="rect">
                      <a:avLst/>
                    </a:prstGeom>
                    <a:noFill/>
                    <a:ln>
                      <a:noFill/>
                    </a:ln>
                  </pic:spPr>
                </pic:pic>
              </a:graphicData>
            </a:graphic>
          </wp:inline>
        </w:drawing>
      </w:r>
    </w:p>
    <w:p w14:paraId="410E81FD" w14:textId="77777777" w:rsidR="00A96232" w:rsidRDefault="00A96232" w:rsidP="00A96232"/>
    <w:p w14:paraId="649D9236" w14:textId="77777777" w:rsidR="00A96232" w:rsidRDefault="00A96232" w:rsidP="00A96232"/>
    <w:p w14:paraId="0BFF1084" w14:textId="77777777" w:rsidR="00A96232" w:rsidRDefault="00A96232" w:rsidP="00A96232">
      <w:pPr>
        <w:widowControl w:val="0"/>
        <w:autoSpaceDE w:val="0"/>
        <w:autoSpaceDN w:val="0"/>
        <w:adjustRightInd w:val="0"/>
        <w:rPr>
          <w:rFonts w:ascii="Helvetica Neue" w:hAnsi="Helvetica Neue" w:cs="Helvetica Neue"/>
          <w:sz w:val="96"/>
          <w:szCs w:val="96"/>
        </w:rPr>
      </w:pPr>
      <w:r>
        <w:rPr>
          <w:rFonts w:ascii="Helvetica Neue" w:hAnsi="Helvetica Neue" w:cs="Helvetica Neue"/>
          <w:b/>
          <w:bCs/>
          <w:sz w:val="72"/>
          <w:szCs w:val="72"/>
        </w:rPr>
        <w:t>Short-term variability</w:t>
      </w:r>
    </w:p>
    <w:p w14:paraId="532944D6" w14:textId="77777777" w:rsidR="00A96232" w:rsidRDefault="00A96232" w:rsidP="00A96232">
      <w:r>
        <w:rPr>
          <w:rFonts w:ascii="Times" w:hAnsi="Times" w:cs="Times"/>
          <w:sz w:val="48"/>
          <w:szCs w:val="48"/>
        </w:rPr>
        <w:t xml:space="preserve">Sedimentation rates vary greatly even over much shorter times periods of days and hours, as seen in Figs. 4 and 5. Sinking particulate matter arrives at the bottom in clouds despite having fallen almost 4 km. We can’t resolve the size of these clouds at the SES’s current </w:t>
      </w:r>
      <w:proofErr w:type="gramStart"/>
      <w:r>
        <w:rPr>
          <w:rFonts w:ascii="Times" w:hAnsi="Times" w:cs="Times"/>
          <w:sz w:val="48"/>
          <w:szCs w:val="48"/>
        </w:rPr>
        <w:t>4 hour</w:t>
      </w:r>
      <w:proofErr w:type="gramEnd"/>
      <w:r>
        <w:rPr>
          <w:rFonts w:ascii="Times" w:hAnsi="Times" w:cs="Times"/>
          <w:sz w:val="48"/>
          <w:szCs w:val="48"/>
        </w:rPr>
        <w:t xml:space="preserve"> sampling interval, although the SES is capable of much higher sampling rates.</w:t>
      </w:r>
    </w:p>
    <w:p w14:paraId="71429803" w14:textId="77777777" w:rsidR="00A96232" w:rsidRDefault="00A96232" w:rsidP="00A96232"/>
    <w:p w14:paraId="22CE95DD" w14:textId="77777777" w:rsidR="00A96232" w:rsidRDefault="00A96232" w:rsidP="00A96232"/>
    <w:p w14:paraId="6A5812FA" w14:textId="77777777" w:rsidR="00A96232" w:rsidRDefault="00A96232" w:rsidP="00A96232">
      <w:r>
        <w:rPr>
          <w:noProof/>
        </w:rPr>
        <w:drawing>
          <wp:inline distT="0" distB="0" distL="0" distR="0" wp14:anchorId="259B4140" wp14:editId="5022F271">
            <wp:extent cx="8153400" cy="1320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53400" cy="13208000"/>
                    </a:xfrm>
                    <a:prstGeom prst="rect">
                      <a:avLst/>
                    </a:prstGeom>
                    <a:noFill/>
                    <a:ln>
                      <a:noFill/>
                    </a:ln>
                  </pic:spPr>
                </pic:pic>
              </a:graphicData>
            </a:graphic>
          </wp:inline>
        </w:drawing>
      </w:r>
    </w:p>
    <w:p w14:paraId="4FDCFCE7" w14:textId="77777777" w:rsidR="00A96232" w:rsidRDefault="00A96232" w:rsidP="00A96232"/>
    <w:p w14:paraId="6BDEFBF6" w14:textId="77777777" w:rsidR="00A96232" w:rsidRDefault="00A96232" w:rsidP="00A96232"/>
    <w:p w14:paraId="64750899" w14:textId="77777777" w:rsidR="00A96232" w:rsidRDefault="00A96232" w:rsidP="00A96232">
      <w:r>
        <w:rPr>
          <w:noProof/>
        </w:rPr>
        <w:drawing>
          <wp:inline distT="0" distB="0" distL="0" distR="0" wp14:anchorId="67BBA9BF" wp14:editId="256BF648">
            <wp:extent cx="6781800" cy="5664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81800" cy="5664200"/>
                    </a:xfrm>
                    <a:prstGeom prst="rect">
                      <a:avLst/>
                    </a:prstGeom>
                    <a:noFill/>
                    <a:ln>
                      <a:noFill/>
                    </a:ln>
                  </pic:spPr>
                </pic:pic>
              </a:graphicData>
            </a:graphic>
          </wp:inline>
        </w:drawing>
      </w:r>
    </w:p>
    <w:p w14:paraId="78D7B5B6" w14:textId="77777777" w:rsidR="00A96232" w:rsidRDefault="00A96232" w:rsidP="00A96232"/>
    <w:p w14:paraId="0663090C" w14:textId="77777777" w:rsidR="00A96232" w:rsidRDefault="00A96232" w:rsidP="00A96232"/>
    <w:p w14:paraId="205EC3A3" w14:textId="77777777" w:rsidR="00A96232" w:rsidRDefault="00A96232" w:rsidP="00A96232">
      <w:pPr>
        <w:widowControl w:val="0"/>
        <w:autoSpaceDE w:val="0"/>
        <w:autoSpaceDN w:val="0"/>
        <w:adjustRightInd w:val="0"/>
        <w:rPr>
          <w:rFonts w:ascii="Helvetica Neue" w:hAnsi="Helvetica Neue" w:cs="Helvetica Neue"/>
          <w:sz w:val="96"/>
          <w:szCs w:val="96"/>
        </w:rPr>
      </w:pPr>
      <w:r>
        <w:rPr>
          <w:rFonts w:ascii="Helvetica Neue" w:hAnsi="Helvetica Neue" w:cs="Helvetica Neue"/>
          <w:b/>
          <w:bCs/>
          <w:sz w:val="72"/>
          <w:szCs w:val="72"/>
        </w:rPr>
        <w:t>Event-triggered sampling</w:t>
      </w:r>
    </w:p>
    <w:p w14:paraId="6E84197B" w14:textId="77777777" w:rsidR="00A96232" w:rsidRDefault="00A96232" w:rsidP="00A96232">
      <w:pPr>
        <w:rPr>
          <w:rFonts w:ascii="Times" w:hAnsi="Times" w:cs="Times"/>
          <w:sz w:val="48"/>
          <w:szCs w:val="48"/>
        </w:rPr>
      </w:pPr>
      <w:r>
        <w:rPr>
          <w:rFonts w:ascii="Times" w:hAnsi="Times" w:cs="Times"/>
          <w:sz w:val="48"/>
          <w:szCs w:val="48"/>
        </w:rPr>
        <w:t>Our goal is to use the SES’s high resolution and in situ analysis capabilities to trigger the sampling of other instruments at Station M, shown in Fig. 6. These include: the Benthic Rover, a bottom-crawling vehicle which takes measurements of sediment community oxygen consumption along with visible and fluorescence transect images; two Time-lapse Cameras, which take hourly images of a 40 m</w:t>
      </w:r>
      <w:r>
        <w:rPr>
          <w:rFonts w:ascii="Times" w:hAnsi="Times" w:cs="Times"/>
          <w:sz w:val="32"/>
          <w:szCs w:val="32"/>
          <w:vertAlign w:val="superscript"/>
        </w:rPr>
        <w:t>2</w:t>
      </w:r>
      <w:r>
        <w:rPr>
          <w:rFonts w:ascii="Times" w:hAnsi="Times" w:cs="Times"/>
          <w:sz w:val="48"/>
          <w:szCs w:val="48"/>
        </w:rPr>
        <w:t xml:space="preserve"> area of the seafloor; and multiple AUVs, which perform </w:t>
      </w:r>
      <w:proofErr w:type="spellStart"/>
      <w:r>
        <w:rPr>
          <w:rFonts w:ascii="Times" w:hAnsi="Times" w:cs="Times"/>
          <w:sz w:val="48"/>
          <w:szCs w:val="48"/>
        </w:rPr>
        <w:t>phototransects</w:t>
      </w:r>
      <w:proofErr w:type="spellEnd"/>
      <w:r>
        <w:rPr>
          <w:rFonts w:ascii="Times" w:hAnsi="Times" w:cs="Times"/>
          <w:sz w:val="48"/>
          <w:szCs w:val="48"/>
        </w:rPr>
        <w:t xml:space="preserve"> of the bottom and measure chemical and biological conditions near the sea surface. By catching the start of a large sedimentation event, we can better measure the sediment community’s response to the arrival of food.</w:t>
      </w:r>
    </w:p>
    <w:p w14:paraId="5CD278A5" w14:textId="77777777" w:rsidR="00A96232" w:rsidRDefault="00A96232" w:rsidP="00A96232">
      <w:pPr>
        <w:rPr>
          <w:rFonts w:ascii="Times" w:hAnsi="Times" w:cs="Times"/>
          <w:sz w:val="48"/>
          <w:szCs w:val="48"/>
        </w:rPr>
      </w:pPr>
    </w:p>
    <w:p w14:paraId="116B409D" w14:textId="77777777" w:rsidR="00A96232" w:rsidRDefault="00A96232" w:rsidP="00A96232">
      <w:r>
        <w:rPr>
          <w:noProof/>
        </w:rPr>
        <w:drawing>
          <wp:inline distT="0" distB="0" distL="0" distR="0" wp14:anchorId="39D3DF3B" wp14:editId="1027A152">
            <wp:extent cx="9055100" cy="8763000"/>
            <wp:effectExtent l="0" t="0" r="1270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55100" cy="8763000"/>
                    </a:xfrm>
                    <a:prstGeom prst="rect">
                      <a:avLst/>
                    </a:prstGeom>
                    <a:noFill/>
                    <a:ln>
                      <a:noFill/>
                    </a:ln>
                  </pic:spPr>
                </pic:pic>
              </a:graphicData>
            </a:graphic>
          </wp:inline>
        </w:drawing>
      </w:r>
    </w:p>
    <w:p w14:paraId="5A9A8560" w14:textId="77777777" w:rsidR="00A96232" w:rsidRDefault="00A96232" w:rsidP="00A96232"/>
    <w:p w14:paraId="74FB9282" w14:textId="77777777" w:rsidR="00A96232" w:rsidRDefault="00A96232" w:rsidP="00A96232">
      <w:pPr>
        <w:widowControl w:val="0"/>
        <w:autoSpaceDE w:val="0"/>
        <w:autoSpaceDN w:val="0"/>
        <w:adjustRightInd w:val="0"/>
        <w:rPr>
          <w:rFonts w:ascii="Helvetica Neue" w:hAnsi="Helvetica Neue" w:cs="Helvetica Neue"/>
          <w:sz w:val="96"/>
          <w:szCs w:val="96"/>
        </w:rPr>
      </w:pPr>
      <w:r>
        <w:rPr>
          <w:rFonts w:ascii="Helvetica Neue" w:hAnsi="Helvetica Neue" w:cs="Helvetica Neue"/>
          <w:b/>
          <w:bCs/>
          <w:sz w:val="72"/>
          <w:szCs w:val="72"/>
        </w:rPr>
        <w:t>Literature cited</w:t>
      </w:r>
    </w:p>
    <w:p w14:paraId="72306EDF" w14:textId="77777777" w:rsidR="00A96232" w:rsidRDefault="00A96232" w:rsidP="00A96232">
      <w:pPr>
        <w:widowControl w:val="0"/>
        <w:autoSpaceDE w:val="0"/>
        <w:autoSpaceDN w:val="0"/>
        <w:adjustRightInd w:val="0"/>
        <w:rPr>
          <w:rFonts w:ascii="Times" w:hAnsi="Times" w:cs="Times"/>
          <w:sz w:val="48"/>
          <w:szCs w:val="48"/>
        </w:rPr>
      </w:pPr>
      <w:r>
        <w:rPr>
          <w:rFonts w:ascii="Times" w:hAnsi="Times" w:cs="Times"/>
          <w:sz w:val="48"/>
          <w:szCs w:val="48"/>
        </w:rPr>
        <w:t xml:space="preserve">McGill P.R., R.G. </w:t>
      </w:r>
      <w:proofErr w:type="spellStart"/>
      <w:r>
        <w:rPr>
          <w:rFonts w:ascii="Times" w:hAnsi="Times" w:cs="Times"/>
          <w:sz w:val="48"/>
          <w:szCs w:val="48"/>
        </w:rPr>
        <w:t>Henthorn</w:t>
      </w:r>
      <w:proofErr w:type="spellEnd"/>
      <w:r>
        <w:rPr>
          <w:rFonts w:ascii="Times" w:hAnsi="Times" w:cs="Times"/>
          <w:sz w:val="48"/>
          <w:szCs w:val="48"/>
        </w:rPr>
        <w:t xml:space="preserve">, L.E. Bird, C.L. </w:t>
      </w:r>
      <w:proofErr w:type="spellStart"/>
      <w:r>
        <w:rPr>
          <w:rFonts w:ascii="Times" w:hAnsi="Times" w:cs="Times"/>
          <w:sz w:val="48"/>
          <w:szCs w:val="48"/>
        </w:rPr>
        <w:t>Huffard</w:t>
      </w:r>
      <w:proofErr w:type="spellEnd"/>
      <w:r>
        <w:rPr>
          <w:rFonts w:ascii="Times" w:hAnsi="Times" w:cs="Times"/>
          <w:sz w:val="48"/>
          <w:szCs w:val="48"/>
        </w:rPr>
        <w:t xml:space="preserve">, D.V. </w:t>
      </w:r>
      <w:proofErr w:type="spellStart"/>
      <w:r>
        <w:rPr>
          <w:rFonts w:ascii="Times" w:hAnsi="Times" w:cs="Times"/>
          <w:sz w:val="48"/>
          <w:szCs w:val="48"/>
        </w:rPr>
        <w:t>Klimov</w:t>
      </w:r>
      <w:proofErr w:type="spellEnd"/>
      <w:r>
        <w:rPr>
          <w:rFonts w:ascii="Times" w:hAnsi="Times" w:cs="Times"/>
          <w:sz w:val="48"/>
          <w:szCs w:val="48"/>
        </w:rPr>
        <w:t>, K.L. Smith, Jr. (2016) Sedimentation Event Sensor: new ocean instrument for in-situ imaging and fluorometry of sinking particulate matter. Limnology and Oceanography Methods, doi</w:t>
      </w:r>
      <w:proofErr w:type="gramStart"/>
      <w:r>
        <w:rPr>
          <w:rFonts w:ascii="Times" w:hAnsi="Times" w:cs="Times"/>
          <w:sz w:val="48"/>
          <w:szCs w:val="48"/>
        </w:rPr>
        <w:t>:10.1002</w:t>
      </w:r>
      <w:proofErr w:type="gramEnd"/>
      <w:r>
        <w:rPr>
          <w:rFonts w:ascii="Times" w:hAnsi="Times" w:cs="Times"/>
          <w:sz w:val="48"/>
          <w:szCs w:val="48"/>
        </w:rPr>
        <w:t>/lom3.10131.</w:t>
      </w:r>
    </w:p>
    <w:p w14:paraId="471A65B6" w14:textId="77777777" w:rsidR="00A96232" w:rsidRDefault="00A96232" w:rsidP="00A96232">
      <w:pPr>
        <w:widowControl w:val="0"/>
        <w:autoSpaceDE w:val="0"/>
        <w:autoSpaceDN w:val="0"/>
        <w:adjustRightInd w:val="0"/>
        <w:rPr>
          <w:rFonts w:ascii="Times" w:hAnsi="Times" w:cs="Times"/>
          <w:sz w:val="48"/>
          <w:szCs w:val="48"/>
        </w:rPr>
      </w:pPr>
    </w:p>
    <w:p w14:paraId="5ABCC4F7" w14:textId="77777777" w:rsidR="00A96232" w:rsidRDefault="00A96232" w:rsidP="00A96232">
      <w:pPr>
        <w:widowControl w:val="0"/>
        <w:autoSpaceDE w:val="0"/>
        <w:autoSpaceDN w:val="0"/>
        <w:adjustRightInd w:val="0"/>
        <w:rPr>
          <w:rFonts w:ascii="Times" w:hAnsi="Times" w:cs="Times"/>
          <w:sz w:val="48"/>
          <w:szCs w:val="48"/>
        </w:rPr>
      </w:pPr>
      <w:r>
        <w:rPr>
          <w:rFonts w:ascii="Times" w:hAnsi="Times" w:cs="Times"/>
          <w:sz w:val="48"/>
          <w:szCs w:val="48"/>
        </w:rPr>
        <w:t xml:space="preserve">Smith </w:t>
      </w:r>
      <w:proofErr w:type="spellStart"/>
      <w:r>
        <w:rPr>
          <w:rFonts w:ascii="Times" w:hAnsi="Times" w:cs="Times"/>
          <w:sz w:val="48"/>
          <w:szCs w:val="48"/>
        </w:rPr>
        <w:t>Jr</w:t>
      </w:r>
      <w:proofErr w:type="spellEnd"/>
      <w:r>
        <w:rPr>
          <w:rFonts w:ascii="Times" w:hAnsi="Times" w:cs="Times"/>
          <w:sz w:val="48"/>
          <w:szCs w:val="48"/>
        </w:rPr>
        <w:t xml:space="preserve">, K. L., H. A. </w:t>
      </w:r>
      <w:proofErr w:type="spellStart"/>
      <w:r>
        <w:rPr>
          <w:rFonts w:ascii="Times" w:hAnsi="Times" w:cs="Times"/>
          <w:sz w:val="48"/>
          <w:szCs w:val="48"/>
        </w:rPr>
        <w:t>Ruhl</w:t>
      </w:r>
      <w:proofErr w:type="spellEnd"/>
      <w:r>
        <w:rPr>
          <w:rFonts w:ascii="Times" w:hAnsi="Times" w:cs="Times"/>
          <w:sz w:val="48"/>
          <w:szCs w:val="48"/>
        </w:rPr>
        <w:t xml:space="preserve">, M. </w:t>
      </w:r>
      <w:proofErr w:type="spellStart"/>
      <w:r>
        <w:rPr>
          <w:rFonts w:ascii="Times" w:hAnsi="Times" w:cs="Times"/>
          <w:sz w:val="48"/>
          <w:szCs w:val="48"/>
        </w:rPr>
        <w:t>Kahru</w:t>
      </w:r>
      <w:proofErr w:type="spellEnd"/>
      <w:r>
        <w:rPr>
          <w:rFonts w:ascii="Times" w:hAnsi="Times" w:cs="Times"/>
          <w:sz w:val="48"/>
          <w:szCs w:val="48"/>
        </w:rPr>
        <w:t xml:space="preserve">, C. L. </w:t>
      </w:r>
      <w:proofErr w:type="spellStart"/>
      <w:r>
        <w:rPr>
          <w:rFonts w:ascii="Times" w:hAnsi="Times" w:cs="Times"/>
          <w:sz w:val="48"/>
          <w:szCs w:val="48"/>
        </w:rPr>
        <w:t>Huffard</w:t>
      </w:r>
      <w:proofErr w:type="spellEnd"/>
      <w:r>
        <w:rPr>
          <w:rFonts w:ascii="Times" w:hAnsi="Times" w:cs="Times"/>
          <w:sz w:val="48"/>
          <w:szCs w:val="48"/>
        </w:rPr>
        <w:t>, and A. D. Sherman. (2013) Deep ocean communities impacted by changing climate over 24 y in the abyssal northeast Pacific Ocean. Proc. Nat. Acad. Sci. 110: 19838-19841.</w:t>
      </w:r>
    </w:p>
    <w:p w14:paraId="16DD2D5F" w14:textId="77777777" w:rsidR="00A96232" w:rsidRDefault="00A96232" w:rsidP="00A96232">
      <w:pPr>
        <w:widowControl w:val="0"/>
        <w:autoSpaceDE w:val="0"/>
        <w:autoSpaceDN w:val="0"/>
        <w:adjustRightInd w:val="0"/>
        <w:rPr>
          <w:rFonts w:ascii="Times" w:hAnsi="Times" w:cs="Times"/>
          <w:sz w:val="48"/>
          <w:szCs w:val="48"/>
        </w:rPr>
      </w:pPr>
    </w:p>
    <w:p w14:paraId="3E224FBB" w14:textId="77777777" w:rsidR="00A96232" w:rsidRDefault="00A96232" w:rsidP="00A96232"/>
    <w:sectPr w:rsidR="00A96232" w:rsidSect="003862C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232"/>
    <w:rsid w:val="003862C2"/>
    <w:rsid w:val="00570833"/>
    <w:rsid w:val="00A96232"/>
    <w:rsid w:val="00FF5CD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BC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2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623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62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9623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emf"/><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emf"/><Relationship Id="rId7" Type="http://schemas.openxmlformats.org/officeDocument/2006/relationships/image" Target="media/image3.emf"/><Relationship Id="rId8" Type="http://schemas.openxmlformats.org/officeDocument/2006/relationships/image" Target="media/image4.emf"/><Relationship Id="rId9" Type="http://schemas.openxmlformats.org/officeDocument/2006/relationships/image" Target="media/image5.emf"/><Relationship Id="rId10"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553</Words>
  <Characters>3153</Characters>
  <Application>Microsoft Macintosh Word</Application>
  <DocSecurity>0</DocSecurity>
  <Lines>26</Lines>
  <Paragraphs>7</Paragraphs>
  <ScaleCrop>false</ScaleCrop>
  <Company>Monterey Bay Aquarium Research Institute</Company>
  <LinksUpToDate>false</LinksUpToDate>
  <CharactersWithSpaces>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McGill</dc:creator>
  <cp:keywords/>
  <dc:description/>
  <cp:lastModifiedBy>Paul McGill</cp:lastModifiedBy>
  <cp:revision>3</cp:revision>
  <dcterms:created xsi:type="dcterms:W3CDTF">2017-02-24T21:36:00Z</dcterms:created>
  <dcterms:modified xsi:type="dcterms:W3CDTF">2017-02-24T21:59:00Z</dcterms:modified>
</cp:coreProperties>
</file>