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8D7" w:rsidRPr="00B558D7" w:rsidRDefault="00B558D7" w:rsidP="00B558D7">
      <w:r w:rsidRPr="00B558D7">
        <w:t>General Style Points</w:t>
      </w:r>
    </w:p>
    <w:p w:rsidR="00B558D7" w:rsidRPr="00B558D7" w:rsidRDefault="00B558D7" w:rsidP="00B558D7"/>
    <w:p w:rsidR="00B558D7" w:rsidRPr="00B558D7" w:rsidRDefault="00B558D7" w:rsidP="00B558D7">
      <w:r w:rsidRPr="00B558D7">
        <w:t>Use a 12-point font (Times Roman preferred); double space and left justify everything, including tables, figure legends, and references. Format documents to be US letter size (8.5 × 11 in). Number all pages and number the lines of the text continuously from the first page through the figure legends. Do not number or letter sections of the manuscript.</w:t>
      </w:r>
    </w:p>
    <w:p w:rsidR="00B558D7" w:rsidRPr="00B558D7" w:rsidRDefault="00B558D7" w:rsidP="00B558D7"/>
    <w:p w:rsidR="00B558D7" w:rsidRPr="00B558D7" w:rsidRDefault="00B558D7" w:rsidP="00B558D7">
      <w:r w:rsidRPr="00B558D7">
        <w:t>Titles and subheadings should be brief (55 characters or fewer) and generally should not be complete sentences, but words, phrases, or brief clauses. Only the first word of a title or subheading should be capitalized.</w:t>
      </w:r>
    </w:p>
    <w:p w:rsidR="00B558D7" w:rsidRPr="00F81749" w:rsidRDefault="00B558D7" w:rsidP="00B558D7"/>
    <w:p w:rsidR="00B558D7" w:rsidRPr="00F81749" w:rsidRDefault="00B558D7" w:rsidP="00B558D7">
      <w:r w:rsidRPr="00F81749">
        <w:t>Use an italic font for lower case Greek letters; but use a regular font (i.e., not italic) for upper case Greek letters. Use the same font for the same mathematical symbol regardless of where it appears in the manuscript (text, displayed equations, tables, figures, or figure legends). Do not italicize common Latin terms and abbreviations such as i.e., e.g., in situ, in vivo, and et al.</w:t>
      </w:r>
    </w:p>
    <w:p w:rsidR="00B558D7" w:rsidRPr="00B558D7" w:rsidRDefault="00B558D7" w:rsidP="00B558D7">
      <w:pPr>
        <w:rPr>
          <w:b/>
        </w:rPr>
      </w:pPr>
    </w:p>
    <w:p w:rsidR="00B558D7" w:rsidRPr="00B558D7" w:rsidRDefault="00B558D7" w:rsidP="00B558D7">
      <w:pPr>
        <w:rPr>
          <w:b/>
        </w:rPr>
      </w:pPr>
      <w:r w:rsidRPr="00B558D7">
        <w:rPr>
          <w:b/>
        </w:rPr>
        <w:t>Cite all figures and tables in the text and number them in the order that they appear in the text.</w:t>
      </w:r>
    </w:p>
    <w:p w:rsidR="00B558D7" w:rsidRPr="00B558D7" w:rsidRDefault="00B558D7" w:rsidP="00B558D7">
      <w:pPr>
        <w:rPr>
          <w:b/>
        </w:rPr>
      </w:pPr>
    </w:p>
    <w:p w:rsidR="00B558D7" w:rsidRPr="00B558D7" w:rsidRDefault="00B558D7" w:rsidP="00B558D7">
      <w:r w:rsidRPr="00B558D7">
        <w:rPr>
          <w:b/>
          <w:highlight w:val="yellow"/>
        </w:rPr>
        <w:t xml:space="preserve">Cite literature in the text in chronological, then alphabetical, order as shown in this example: “Campbell (1983, 1987b),” “(Smith et al. 1984; Karl and Craven 1988; </w:t>
      </w:r>
      <w:proofErr w:type="spellStart"/>
      <w:r w:rsidRPr="00B558D7">
        <w:rPr>
          <w:b/>
          <w:highlight w:val="yellow"/>
        </w:rPr>
        <w:t>Korobi</w:t>
      </w:r>
      <w:proofErr w:type="spellEnd"/>
      <w:r w:rsidRPr="00B558D7">
        <w:rPr>
          <w:b/>
          <w:highlight w:val="yellow"/>
        </w:rPr>
        <w:t xml:space="preserve"> 1997, 1998).” In the</w:t>
      </w:r>
      <w:r w:rsidRPr="00B558D7">
        <w:rPr>
          <w:b/>
        </w:rPr>
        <w:t xml:space="preserve"> </w:t>
      </w:r>
      <w:r w:rsidRPr="00B558D7">
        <w:t xml:space="preserve">References section, list citations in alphabetically, then in chronological, order, i.e., Campbell 1983; Campbell 1987b; Karl &amp; Craven 1988; </w:t>
      </w:r>
      <w:proofErr w:type="spellStart"/>
      <w:r w:rsidRPr="00B558D7">
        <w:t>Korobi</w:t>
      </w:r>
      <w:proofErr w:type="spellEnd"/>
      <w:r w:rsidRPr="00B558D7">
        <w:t xml:space="preserve"> 1997; </w:t>
      </w:r>
      <w:proofErr w:type="spellStart"/>
      <w:r w:rsidRPr="00B558D7">
        <w:t>Korobi</w:t>
      </w:r>
      <w:proofErr w:type="spellEnd"/>
      <w:r w:rsidRPr="00B558D7">
        <w:t xml:space="preserve"> 1998; Smith et al. 1984.</w:t>
      </w:r>
    </w:p>
    <w:p w:rsidR="00B558D7" w:rsidRPr="00B558D7" w:rsidRDefault="00B558D7" w:rsidP="00B558D7"/>
    <w:p w:rsidR="00B558D7" w:rsidRPr="00B558D7" w:rsidRDefault="00B558D7" w:rsidP="00B558D7">
      <w:r w:rsidRPr="00B558D7">
        <w:t>Authors are allowed some leeway in their choice of units, although only metric units should be used and usage should be consistent throughout the manuscript. Whenever non-SI units are used, the conversion to the equivalent SI unit should be given in parentheses upon first use in the text as well as in figure legends. The use of terms such as parts per million (ppm) and parts per billion (ppb) is discouraged, with units such as mg/L or ng/g preferred.</w:t>
      </w:r>
    </w:p>
    <w:p w:rsidR="00B558D7" w:rsidRPr="00B558D7" w:rsidRDefault="00B558D7" w:rsidP="00B558D7">
      <w:pPr>
        <w:rPr>
          <w:b/>
        </w:rPr>
      </w:pPr>
    </w:p>
    <w:p w:rsidR="00B558D7" w:rsidRPr="00B558D7" w:rsidRDefault="00B558D7" w:rsidP="00B558D7">
      <w:r w:rsidRPr="00B558D7">
        <w:t>Use exponents to indicate multiplication or division in units, and use (×) for multiplication in equations. To indicate a power of 10, write, e.g., 5 × 10−8 (5E-8 is not acceptable).</w:t>
      </w:r>
    </w:p>
    <w:p w:rsidR="00B558D7" w:rsidRPr="00B558D7" w:rsidRDefault="00B558D7" w:rsidP="00B558D7">
      <w:pPr>
        <w:rPr>
          <w:b/>
        </w:rPr>
      </w:pPr>
    </w:p>
    <w:p w:rsidR="00B558D7" w:rsidRPr="00B558D7" w:rsidRDefault="00B558D7" w:rsidP="00B558D7">
      <w:pPr>
        <w:rPr>
          <w:b/>
        </w:rPr>
      </w:pPr>
      <w:r w:rsidRPr="00B558D7">
        <w:t xml:space="preserve">Describe any statistical methods in enough detail to enable a knowledgeable reader with access to the original data to verify the reported results. Give degrees of freedom for F-tests as subscripts </w:t>
      </w:r>
      <w:r w:rsidRPr="00B558D7">
        <w:lastRenderedPageBreak/>
        <w:t>(e.g., F3</w:t>
      </w:r>
      <w:proofErr w:type="gramStart"/>
      <w:r w:rsidRPr="00B558D7">
        <w:t>,4</w:t>
      </w:r>
      <w:proofErr w:type="gramEnd"/>
      <w:r w:rsidRPr="00B558D7">
        <w:t xml:space="preserve">); </w:t>
      </w:r>
      <w:r w:rsidRPr="00B558D7">
        <w:rPr>
          <w:b/>
        </w:rPr>
        <w:t>for other statistics, report degrees of freedom as “</w:t>
      </w:r>
      <w:proofErr w:type="spellStart"/>
      <w:r w:rsidRPr="00B558D7">
        <w:rPr>
          <w:b/>
        </w:rPr>
        <w:t>df</w:t>
      </w:r>
      <w:proofErr w:type="spellEnd"/>
      <w:r w:rsidRPr="00B558D7">
        <w:rPr>
          <w:b/>
        </w:rPr>
        <w:t xml:space="preserve"> = n” following the test result (e.g., t = 53.4, </w:t>
      </w:r>
      <w:proofErr w:type="spellStart"/>
      <w:r w:rsidRPr="00B558D7">
        <w:rPr>
          <w:b/>
        </w:rPr>
        <w:t>df</w:t>
      </w:r>
      <w:proofErr w:type="spellEnd"/>
      <w:r w:rsidRPr="00B558D7">
        <w:rPr>
          <w:b/>
        </w:rPr>
        <w:t xml:space="preserve"> = 20). Use italics for symbols representing a statistic: p for probability level, n for the sample size, r for the correlation coefficient, R2 to denote the coefficient of determination. (</w:t>
      </w:r>
      <w:proofErr w:type="gramStart"/>
      <w:r w:rsidRPr="00B558D7">
        <w:rPr>
          <w:b/>
        </w:rPr>
        <w:t>note</w:t>
      </w:r>
      <w:proofErr w:type="gramEnd"/>
      <w:r w:rsidRPr="00B558D7">
        <w:rPr>
          <w:b/>
        </w:rPr>
        <w:t xml:space="preserve"> that r2 = R2 only for a linear regression.)</w:t>
      </w:r>
    </w:p>
    <w:p w:rsidR="00B558D7" w:rsidRPr="00B558D7" w:rsidRDefault="00B558D7" w:rsidP="00B558D7">
      <w:pPr>
        <w:rPr>
          <w:b/>
        </w:rPr>
      </w:pPr>
    </w:p>
    <w:p w:rsidR="00B558D7" w:rsidRPr="00B558D7" w:rsidRDefault="00B558D7" w:rsidP="00B558D7">
      <w:r w:rsidRPr="00B558D7">
        <w:t xml:space="preserve">Use periods after all abbreviations except for metric measures, compass directions, and time (s, min, h, d, </w:t>
      </w:r>
      <w:proofErr w:type="spellStart"/>
      <w:r w:rsidRPr="00B558D7">
        <w:t>yr</w:t>
      </w:r>
      <w:proofErr w:type="spellEnd"/>
      <w:r w:rsidRPr="00B558D7">
        <w:t xml:space="preserve">). Do not abbreviate ‘week’ or ‘month’. Use a 24-hour clock and </w:t>
      </w:r>
      <w:proofErr w:type="spellStart"/>
      <w:r w:rsidRPr="00B558D7">
        <w:t>hh:mm</w:t>
      </w:r>
      <w:proofErr w:type="spellEnd"/>
      <w:r w:rsidRPr="00B558D7">
        <w:t xml:space="preserve"> or </w:t>
      </w:r>
      <w:proofErr w:type="spellStart"/>
      <w:r w:rsidRPr="00B558D7">
        <w:t>hh:mm:ss</w:t>
      </w:r>
      <w:proofErr w:type="spellEnd"/>
      <w:r w:rsidRPr="00B558D7">
        <w:t xml:space="preserve"> for time of day (i.e., 09:30, 18:24:44).</w:t>
      </w:r>
    </w:p>
    <w:p w:rsidR="00B558D7" w:rsidRPr="00B558D7" w:rsidRDefault="00B558D7" w:rsidP="00B558D7">
      <w:pPr>
        <w:rPr>
          <w:b/>
        </w:rPr>
      </w:pPr>
    </w:p>
    <w:p w:rsidR="00B558D7" w:rsidRPr="00F81749" w:rsidRDefault="00B558D7" w:rsidP="00B558D7">
      <w:r w:rsidRPr="00F81749">
        <w:t>Use acronyms and abbreviations sparingly. Define each acronym at first mention in the text, and on each table and figure legend, giving the abbreviation or acronym in parentheses. Do not use an acronym for words or phrases if that word or phrase is used fewer than five times in the text, and do not begin sentences with an acronym or abbreviation.</w:t>
      </w:r>
    </w:p>
    <w:p w:rsidR="00B558D7" w:rsidRPr="00B558D7" w:rsidRDefault="00B558D7" w:rsidP="00B558D7">
      <w:pPr>
        <w:rPr>
          <w:b/>
        </w:rPr>
      </w:pPr>
    </w:p>
    <w:p w:rsidR="00B558D7" w:rsidRPr="00F37318" w:rsidRDefault="00B558D7" w:rsidP="00B558D7">
      <w:r w:rsidRPr="00F37318">
        <w:t>Do not break (hyphenate) words over lines. Do not use footnotes within the text; footnotes can only be used in tables.</w:t>
      </w:r>
    </w:p>
    <w:p w:rsidR="00B558D7" w:rsidRPr="00B558D7" w:rsidRDefault="00B558D7" w:rsidP="00B558D7">
      <w:pPr>
        <w:rPr>
          <w:b/>
        </w:rPr>
      </w:pPr>
    </w:p>
    <w:p w:rsidR="00B558D7" w:rsidRPr="00B558D7" w:rsidRDefault="00B558D7" w:rsidP="00B558D7">
      <w:pPr>
        <w:rPr>
          <w:b/>
        </w:rPr>
      </w:pPr>
      <w:r w:rsidRPr="00B558D7">
        <w:rPr>
          <w:b/>
        </w:rPr>
        <w:t>Manuscript Assembly</w:t>
      </w:r>
    </w:p>
    <w:p w:rsidR="00B558D7" w:rsidRPr="00B558D7" w:rsidRDefault="00B558D7" w:rsidP="00B558D7">
      <w:pPr>
        <w:rPr>
          <w:b/>
        </w:rPr>
      </w:pPr>
    </w:p>
    <w:p w:rsidR="00B558D7" w:rsidRPr="00E668BE" w:rsidRDefault="00B558D7" w:rsidP="00B558D7">
      <w:r w:rsidRPr="00AC3A1C">
        <w:rPr>
          <w:highlight w:val="yellow"/>
        </w:rPr>
        <w:t>Submitted manuscripts should include the following: Title page, Abstract, Text, References, Acknowledgments (if applicable), Figure Legends, Tables and Figures. Tables and Figures can be embedded within the main text file or uploaded as separate documents.</w:t>
      </w:r>
    </w:p>
    <w:p w:rsidR="00B558D7" w:rsidRPr="00303DCF" w:rsidRDefault="00B558D7" w:rsidP="00B558D7"/>
    <w:p w:rsidR="00B558D7" w:rsidRPr="00303DCF" w:rsidRDefault="00B558D7" w:rsidP="00B558D7"/>
    <w:p w:rsidR="00B558D7" w:rsidRPr="00303DCF" w:rsidRDefault="00B558D7" w:rsidP="00B558D7">
      <w:r w:rsidRPr="00303DCF">
        <w:t>Title Page</w:t>
      </w:r>
      <w:bookmarkStart w:id="0" w:name="_GoBack"/>
      <w:bookmarkEnd w:id="0"/>
    </w:p>
    <w:p w:rsidR="00B558D7" w:rsidRPr="00303DCF" w:rsidRDefault="00B558D7" w:rsidP="00B558D7">
      <w:r w:rsidRPr="00303DCF">
        <w:t>The Title Page should contain the following information: Title of article; authors’ complete names and institutional affiliations (including city, state/province, and country); complete contact information for the corresponding author (including email); running head (not to exceed 40 characters and spaces); 5 to 12 keywords. Use superscript numbers to marry authors to affiliations.</w:t>
      </w:r>
    </w:p>
    <w:p w:rsidR="00B558D7" w:rsidRPr="00B558D7" w:rsidRDefault="00B558D7" w:rsidP="00B558D7">
      <w:pPr>
        <w:rPr>
          <w:b/>
        </w:rPr>
      </w:pPr>
    </w:p>
    <w:p w:rsidR="00B558D7" w:rsidRPr="00893100" w:rsidRDefault="00B558D7" w:rsidP="00B558D7">
      <w:r w:rsidRPr="00893100">
        <w:t>Abstract</w:t>
      </w:r>
    </w:p>
    <w:p w:rsidR="00B558D7" w:rsidRPr="00893100" w:rsidRDefault="00B558D7" w:rsidP="00B558D7">
      <w:r w:rsidRPr="00893100">
        <w:t xml:space="preserve">For new methods, the abstract should succinctly summarize the most important properties of the method, and the need it addresses. For evaluation, </w:t>
      </w:r>
      <w:proofErr w:type="spellStart"/>
      <w:r w:rsidRPr="00893100">
        <w:t>intercalibration</w:t>
      </w:r>
      <w:proofErr w:type="spellEnd"/>
      <w:r w:rsidRPr="00893100">
        <w:t xml:space="preserve"> and </w:t>
      </w:r>
      <w:proofErr w:type="spellStart"/>
      <w:r w:rsidRPr="00893100">
        <w:t>intercomparison</w:t>
      </w:r>
      <w:proofErr w:type="spellEnd"/>
      <w:r w:rsidRPr="00893100">
        <w:t xml:space="preserve">, or </w:t>
      </w:r>
      <w:proofErr w:type="spellStart"/>
      <w:r w:rsidRPr="00893100">
        <w:t>metaanalytical</w:t>
      </w:r>
      <w:proofErr w:type="spellEnd"/>
      <w:r w:rsidRPr="00893100">
        <w:t xml:space="preserve"> studies, the abstract summarizes the approach used to address a problem, the </w:t>
      </w:r>
      <w:r w:rsidRPr="00893100">
        <w:lastRenderedPageBreak/>
        <w:t>principal conclusions reached, and the impact of those conclusions. Abstracts are limited to a single paragraph containing no more than 250 words.</w:t>
      </w:r>
    </w:p>
    <w:p w:rsidR="00B558D7" w:rsidRPr="00893100" w:rsidRDefault="00B558D7" w:rsidP="00B558D7"/>
    <w:p w:rsidR="00B558D7" w:rsidRPr="00893100" w:rsidRDefault="00B558D7" w:rsidP="00B558D7"/>
    <w:p w:rsidR="00B558D7" w:rsidRPr="00893100" w:rsidRDefault="00B558D7" w:rsidP="00B558D7">
      <w:r w:rsidRPr="00893100">
        <w:t>Introduction</w:t>
      </w:r>
    </w:p>
    <w:p w:rsidR="00B558D7" w:rsidRPr="00893100" w:rsidRDefault="00B558D7" w:rsidP="00B558D7">
      <w:r w:rsidRPr="00893100">
        <w:t xml:space="preserve">Manuscripts must include a succinct introduction in which the need for a new or improved method is established, and the method is introduced in concept. The introduction may be used to introduce problems with existing methods that will be tested or evaluated; or to establish the need for </w:t>
      </w:r>
      <w:proofErr w:type="spellStart"/>
      <w:r w:rsidRPr="00893100">
        <w:t>intercomparison</w:t>
      </w:r>
      <w:proofErr w:type="spellEnd"/>
      <w:r w:rsidRPr="00893100">
        <w:t xml:space="preserve">, </w:t>
      </w:r>
      <w:proofErr w:type="spellStart"/>
      <w:r w:rsidRPr="00893100">
        <w:t>intercalibration</w:t>
      </w:r>
      <w:proofErr w:type="spellEnd"/>
      <w:r w:rsidRPr="00893100">
        <w:t xml:space="preserve"> or </w:t>
      </w:r>
      <w:proofErr w:type="spellStart"/>
      <w:r w:rsidRPr="00893100">
        <w:t>metaanalytical</w:t>
      </w:r>
      <w:proofErr w:type="spellEnd"/>
      <w:r w:rsidRPr="00893100">
        <w:t xml:space="preserve"> studies.</w:t>
      </w:r>
    </w:p>
    <w:p w:rsidR="00B558D7" w:rsidRPr="00893100" w:rsidRDefault="00B558D7" w:rsidP="00B558D7"/>
    <w:p w:rsidR="00B558D7" w:rsidRPr="00893100" w:rsidRDefault="00B558D7" w:rsidP="00B558D7"/>
    <w:p w:rsidR="00B558D7" w:rsidRPr="00893100" w:rsidRDefault="00B558D7" w:rsidP="00B558D7">
      <w:r w:rsidRPr="00893100">
        <w:t>Materials and Procedures</w:t>
      </w:r>
    </w:p>
    <w:p w:rsidR="00B558D7" w:rsidRPr="00893100" w:rsidRDefault="00B558D7" w:rsidP="00B558D7">
      <w:r w:rsidRPr="00893100">
        <w:t xml:space="preserve">Whenever possible and appropriate, manuscripts must present complete instructions for the recommended procedure, analogous to a good cookbook or an easy-to-use laboratory manual. Descriptions of equipment and apparatus must provide a similar level of detail regarding the construction and operation of the device. Evaluation and </w:t>
      </w:r>
      <w:proofErr w:type="spellStart"/>
      <w:r w:rsidRPr="00893100">
        <w:t>intercalibration</w:t>
      </w:r>
      <w:proofErr w:type="spellEnd"/>
      <w:r w:rsidRPr="00893100">
        <w:t xml:space="preserve"> or </w:t>
      </w:r>
      <w:proofErr w:type="spellStart"/>
      <w:r w:rsidRPr="00893100">
        <w:t>intercomparison</w:t>
      </w:r>
      <w:proofErr w:type="spellEnd"/>
      <w:r w:rsidRPr="00893100">
        <w:t xml:space="preserve"> studies may refer to published descriptions of existing methods, but should describe in reproducible detail how the present study was conducted. </w:t>
      </w:r>
      <w:proofErr w:type="spellStart"/>
      <w:r w:rsidRPr="00893100">
        <w:t>Metaanalytical</w:t>
      </w:r>
      <w:proofErr w:type="spellEnd"/>
      <w:r w:rsidRPr="00893100">
        <w:t xml:space="preserve"> studies should provide details regarding data sources and extraction, and analytical methods used.</w:t>
      </w:r>
    </w:p>
    <w:p w:rsidR="00B558D7" w:rsidRPr="00893100" w:rsidRDefault="00B558D7" w:rsidP="00B558D7"/>
    <w:p w:rsidR="00B558D7" w:rsidRPr="00893100" w:rsidRDefault="00B558D7" w:rsidP="00B558D7">
      <w:r w:rsidRPr="00893100">
        <w:t>Materials</w:t>
      </w:r>
    </w:p>
    <w:p w:rsidR="00B558D7" w:rsidRPr="00893100" w:rsidRDefault="00B558D7" w:rsidP="00B558D7">
      <w:r w:rsidRPr="00893100">
        <w:t>“Materials” includes expendable and non-expendable supplies, equipment, and solutions. Materials should be listed as completely as possible, with careful attention to providing enough information to assist new users in adopting the method. Descriptions of needed equipment must note the essential features of the equipment in sufficient detail to allow users to obtain similar devices, or authors may refer to specific commercial products in lieu of a detailed description. The composition of any solutions must be stated explicitly (e.g. grams per liter of a specific compound).</w:t>
      </w:r>
    </w:p>
    <w:p w:rsidR="00B558D7" w:rsidRPr="00893100" w:rsidRDefault="00B558D7" w:rsidP="00B558D7"/>
    <w:p w:rsidR="00B558D7" w:rsidRPr="00893100" w:rsidRDefault="00B558D7" w:rsidP="00B558D7">
      <w:r w:rsidRPr="00893100">
        <w:t>Procedures</w:t>
      </w:r>
    </w:p>
    <w:p w:rsidR="00B558D7" w:rsidRPr="00893100" w:rsidRDefault="00B558D7" w:rsidP="00B558D7">
      <w:r w:rsidRPr="00893100">
        <w:t>A stepwise description of all procedures used, divided into sub-procedures as necessary for clarity. Sufficient detail must be provided that a reader may readily adopt and employ the method as described, at least under the conditions described.</w:t>
      </w:r>
    </w:p>
    <w:p w:rsidR="00B558D7" w:rsidRPr="00893100" w:rsidRDefault="00B558D7" w:rsidP="00B558D7"/>
    <w:p w:rsidR="00B558D7" w:rsidRPr="00893100" w:rsidRDefault="00B558D7" w:rsidP="00B558D7">
      <w:r w:rsidRPr="00893100">
        <w:lastRenderedPageBreak/>
        <w:t>Limnology and Oceanography: Methods will not accept manuscripts that describe laboratory and field techniques, equipment, analyses, and other methods, in insufficient detail to be reproduced by others.</w:t>
      </w:r>
    </w:p>
    <w:p w:rsidR="00B558D7" w:rsidRPr="00893100" w:rsidRDefault="00B558D7" w:rsidP="00B558D7"/>
    <w:p w:rsidR="00B558D7" w:rsidRPr="00893100" w:rsidRDefault="00B558D7" w:rsidP="00B558D7"/>
    <w:p w:rsidR="00B558D7" w:rsidRPr="00893100" w:rsidRDefault="00B558D7" w:rsidP="00B558D7">
      <w:r w:rsidRPr="00893100">
        <w:t>Assessment</w:t>
      </w:r>
    </w:p>
    <w:p w:rsidR="00B558D7" w:rsidRPr="00893100" w:rsidRDefault="00B558D7" w:rsidP="00B558D7">
      <w:r w:rsidRPr="00893100">
        <w:t xml:space="preserve">Typically, authors will present in this section the critical experiments or studies that were conducted in the process of methods testing, the results of those studies, and the proof of concept they provide. The Assessment section may also be used to present the results of re-evaluations of existing methods, </w:t>
      </w:r>
      <w:proofErr w:type="spellStart"/>
      <w:r w:rsidRPr="00893100">
        <w:t>intercomparison</w:t>
      </w:r>
      <w:proofErr w:type="spellEnd"/>
      <w:r w:rsidRPr="00893100">
        <w:t xml:space="preserve"> and </w:t>
      </w:r>
      <w:proofErr w:type="spellStart"/>
      <w:r w:rsidRPr="00893100">
        <w:t>intercalibration</w:t>
      </w:r>
      <w:proofErr w:type="spellEnd"/>
      <w:r w:rsidRPr="00893100">
        <w:t xml:space="preserve"> experiments, and </w:t>
      </w:r>
      <w:proofErr w:type="spellStart"/>
      <w:r w:rsidRPr="00893100">
        <w:t>metaanalyses</w:t>
      </w:r>
      <w:proofErr w:type="spellEnd"/>
      <w:r w:rsidRPr="00893100">
        <w:t>. It should include not only the factual results, but their interpretation and the conclusions reached from them. The assessment should provide the answers to such basic questions as:</w:t>
      </w:r>
    </w:p>
    <w:p w:rsidR="00B558D7" w:rsidRPr="00893100" w:rsidRDefault="00B558D7" w:rsidP="00B558D7"/>
    <w:p w:rsidR="00B558D7" w:rsidRPr="00893100" w:rsidRDefault="00B558D7" w:rsidP="00B558D7">
      <w:r w:rsidRPr="00893100">
        <w:t>How do you know that your method really works?</w:t>
      </w:r>
    </w:p>
    <w:p w:rsidR="00B558D7" w:rsidRPr="00893100" w:rsidRDefault="00B558D7" w:rsidP="00B558D7"/>
    <w:p w:rsidR="00B558D7" w:rsidRPr="00893100" w:rsidRDefault="00B558D7" w:rsidP="00B558D7">
      <w:r w:rsidRPr="00893100">
        <w:t>How well does your method work?</w:t>
      </w:r>
    </w:p>
    <w:p w:rsidR="00B558D7" w:rsidRPr="00893100" w:rsidRDefault="00B558D7" w:rsidP="00B558D7"/>
    <w:p w:rsidR="00B558D7" w:rsidRPr="00893100" w:rsidRDefault="00B558D7" w:rsidP="00B558D7">
      <w:r w:rsidRPr="00893100">
        <w:t>What are the method’s strengths and limitations?</w:t>
      </w:r>
    </w:p>
    <w:p w:rsidR="00B558D7" w:rsidRPr="00893100" w:rsidRDefault="00B558D7" w:rsidP="00B558D7"/>
    <w:p w:rsidR="00B558D7" w:rsidRPr="00893100" w:rsidRDefault="00B558D7" w:rsidP="00B558D7">
      <w:r w:rsidRPr="00893100">
        <w:t>How difficult or expensive is your method to adopt and use?</w:t>
      </w:r>
    </w:p>
    <w:p w:rsidR="00B558D7" w:rsidRPr="00893100" w:rsidRDefault="00B558D7" w:rsidP="00B558D7"/>
    <w:p w:rsidR="00B558D7" w:rsidRPr="00893100" w:rsidRDefault="00B558D7" w:rsidP="00B558D7">
      <w:r w:rsidRPr="00893100">
        <w:t>Does an existing method indeed have a fundamental flaw that needs to be addressed?</w:t>
      </w:r>
    </w:p>
    <w:p w:rsidR="00B558D7" w:rsidRPr="00893100" w:rsidRDefault="00B558D7" w:rsidP="00B558D7"/>
    <w:p w:rsidR="00B558D7" w:rsidRPr="00893100" w:rsidRDefault="00B558D7" w:rsidP="00B558D7">
      <w:r w:rsidRPr="00893100">
        <w:t>How well did alternative methods agree?</w:t>
      </w:r>
    </w:p>
    <w:p w:rsidR="00B558D7" w:rsidRPr="00893100" w:rsidRDefault="00B558D7" w:rsidP="00B558D7"/>
    <w:p w:rsidR="00B558D7" w:rsidRPr="00893100" w:rsidRDefault="00B558D7" w:rsidP="00B558D7">
      <w:r w:rsidRPr="00893100">
        <w:t>The methods assessment must address statistical properties of new methods, such as precision, accuracy, and detection limits. These elements are particularly important if a new method is intended to supplant an established procedure.</w:t>
      </w:r>
    </w:p>
    <w:p w:rsidR="00B558D7" w:rsidRPr="00893100" w:rsidRDefault="00B558D7" w:rsidP="00B558D7"/>
    <w:p w:rsidR="00B558D7" w:rsidRPr="00893100" w:rsidRDefault="00B558D7" w:rsidP="00B558D7">
      <w:r w:rsidRPr="00893100">
        <w:t xml:space="preserve">If a method involves any subjective decision by an operator, or is dependent on operator skill, the manuscript must address explicitly the extent to which operator performance affects the statistical properties of the method. As an example: epifluorescence microscopy is often used to enumerate </w:t>
      </w:r>
      <w:r w:rsidRPr="00893100">
        <w:lastRenderedPageBreak/>
        <w:t>aquatic bacteria, but usually requires subjective decisions on the part of the individual doing the counting. The extent to which such subjective decisions influence results would need to be measured.</w:t>
      </w:r>
    </w:p>
    <w:p w:rsidR="00B558D7" w:rsidRPr="00893100" w:rsidRDefault="00B558D7" w:rsidP="00B558D7"/>
    <w:p w:rsidR="00B558D7" w:rsidRPr="00893100" w:rsidRDefault="00B558D7" w:rsidP="00B558D7">
      <w:r w:rsidRPr="00893100">
        <w:t>Authors should assess the ease or difficulty of setting up and employing the method.</w:t>
      </w:r>
    </w:p>
    <w:p w:rsidR="00B558D7" w:rsidRPr="00893100" w:rsidRDefault="00B558D7" w:rsidP="00B558D7"/>
    <w:p w:rsidR="00B558D7" w:rsidRPr="00893100" w:rsidRDefault="00B558D7" w:rsidP="00B558D7">
      <w:r w:rsidRPr="00893100">
        <w:t>One effective and persuasive technique to demonstrate the utility of a new method is to apply it successfully to a real-world problem. Authors are not required to demonstrate proof-of-concept through a real-world application, in order to submit a methods manuscript to Limnology and Oceanography: Methods. Demonstrations of the effectiveness of a method under controlled experimental conditions are equally acceptable, provided that the authors can argue successfully that the transition to real-world applications should not present potentially insurmountable obstacles.</w:t>
      </w:r>
    </w:p>
    <w:p w:rsidR="00B558D7" w:rsidRPr="00893100" w:rsidRDefault="00B558D7" w:rsidP="00B558D7"/>
    <w:p w:rsidR="00B558D7" w:rsidRPr="00893100" w:rsidRDefault="00B558D7" w:rsidP="00B558D7">
      <w:r w:rsidRPr="00893100">
        <w:t>Discussion</w:t>
      </w:r>
    </w:p>
    <w:p w:rsidR="00B558D7" w:rsidRPr="00893100" w:rsidRDefault="00B558D7" w:rsidP="00B558D7">
      <w:r w:rsidRPr="00893100">
        <w:t>You should have already described the results and conclusions of any tests and analyses conducted in the Assessment section.</w:t>
      </w:r>
    </w:p>
    <w:p w:rsidR="00B558D7" w:rsidRPr="00893100" w:rsidRDefault="00B558D7" w:rsidP="00B558D7"/>
    <w:p w:rsidR="00B558D7" w:rsidRPr="00893100" w:rsidRDefault="00B558D7" w:rsidP="00B558D7">
      <w:r w:rsidRPr="00893100">
        <w:t>For new methods: Authors should discuss the degree to which a new method meets the need defined in the introduction. Authors must address and establish the potential for the method to lead to new insight, based on the demonstrated properties as tested and described in the assessment section. What does this method offer? Is it a fundamentally new approach, or a breakthrough advance in comparison with the capabilities and properties of alternative approaches? What questions and problems might be addressed that were previously intractable? What new questions are raised? Again, you must make plain to the editors and reviewers why you believe that your work will advance the aquatic sciences. Manuscripts that only report modest improvements upon methods already in use are unlikely to be accepted.</w:t>
      </w:r>
    </w:p>
    <w:p w:rsidR="00B558D7" w:rsidRPr="00893100" w:rsidRDefault="00B558D7" w:rsidP="00B558D7"/>
    <w:p w:rsidR="00B558D7" w:rsidRPr="00893100" w:rsidRDefault="00B558D7" w:rsidP="00B558D7">
      <w:r w:rsidRPr="00893100">
        <w:t xml:space="preserve">For evaluation, comparison and </w:t>
      </w:r>
      <w:proofErr w:type="spellStart"/>
      <w:r w:rsidRPr="00893100">
        <w:t>intercalibration</w:t>
      </w:r>
      <w:proofErr w:type="spellEnd"/>
      <w:r w:rsidRPr="00893100">
        <w:t xml:space="preserve"> studies, and </w:t>
      </w:r>
      <w:proofErr w:type="spellStart"/>
      <w:r w:rsidRPr="00893100">
        <w:t>metaanalyses</w:t>
      </w:r>
      <w:proofErr w:type="spellEnd"/>
      <w:r w:rsidRPr="00893100">
        <w:t>: Having presented the tests conducted and the conclusions reached, authors should now discuss the impact of their conclusions. How will these conclusions change the interpretation of past work? Have past methodological errors led to any probably incorrect conclusions? What needs to be changed in future work? Authors must demonstrate that their work will have a substantial impact on the way published work should be interpreted, and on the way future work should be conducted.</w:t>
      </w:r>
    </w:p>
    <w:p w:rsidR="00B558D7" w:rsidRPr="00893100" w:rsidRDefault="00B558D7" w:rsidP="00B558D7"/>
    <w:p w:rsidR="00B558D7" w:rsidRPr="00893100" w:rsidRDefault="00B558D7" w:rsidP="00B558D7"/>
    <w:p w:rsidR="00B558D7" w:rsidRPr="00893100" w:rsidRDefault="00B558D7" w:rsidP="00B558D7">
      <w:r w:rsidRPr="00893100">
        <w:lastRenderedPageBreak/>
        <w:t>Comments and recommendations</w:t>
      </w:r>
    </w:p>
    <w:p w:rsidR="00B558D7" w:rsidRPr="00893100" w:rsidRDefault="00B558D7" w:rsidP="00B558D7">
      <w:r w:rsidRPr="00893100">
        <w:t>Real-world applications will often require modifications to procedures. Authors are encouraged to conclude with brief comments on particularly critical aspects of the procedure, and suggestions for adapting the method to various potential applications or environments. If an existing method has been re-evaluated, authors should make recommendations for any changes to the method for future work.</w:t>
      </w:r>
    </w:p>
    <w:p w:rsidR="00B558D7" w:rsidRPr="00B558D7" w:rsidRDefault="00B558D7" w:rsidP="00B558D7">
      <w:pPr>
        <w:rPr>
          <w:b/>
        </w:rPr>
      </w:pPr>
    </w:p>
    <w:p w:rsidR="00B558D7" w:rsidRPr="002C55B3" w:rsidRDefault="00B558D7" w:rsidP="00B558D7"/>
    <w:p w:rsidR="00B558D7" w:rsidRPr="002C55B3" w:rsidRDefault="00B558D7" w:rsidP="00B558D7">
      <w:r w:rsidRPr="002C55B3">
        <w:t>References and Citations</w:t>
      </w:r>
    </w:p>
    <w:p w:rsidR="00B558D7" w:rsidRPr="002C55B3" w:rsidRDefault="00B558D7" w:rsidP="00B558D7"/>
    <w:p w:rsidR="00B558D7" w:rsidRPr="002C55B3" w:rsidRDefault="00B558D7" w:rsidP="00B558D7">
      <w:r w:rsidRPr="002C55B3">
        <w:t xml:space="preserve">All references cited in the text must appear in the References, and vice versa. An excessive number of citations to support a particular statement </w:t>
      </w:r>
      <w:proofErr w:type="gramStart"/>
      <w:r w:rsidRPr="002C55B3">
        <w:t>is</w:t>
      </w:r>
      <w:proofErr w:type="gramEnd"/>
      <w:r w:rsidRPr="002C55B3">
        <w:t xml:space="preserve"> discouraged. L&amp;O: Methods encourages citations of both recent literature and the literature that originally establishes an argument.</w:t>
      </w:r>
    </w:p>
    <w:p w:rsidR="00B558D7" w:rsidRPr="002C55B3" w:rsidRDefault="00B558D7" w:rsidP="00B558D7"/>
    <w:p w:rsidR="00B558D7" w:rsidRPr="002C55B3" w:rsidRDefault="00B558D7" w:rsidP="00B558D7">
      <w:r w:rsidRPr="002C55B3">
        <w:t>Double check the spelling of author names and years of publication. List the first eight authors; for nine or more authors, list the first three authors followed by “and others”.</w:t>
      </w:r>
    </w:p>
    <w:p w:rsidR="00B558D7" w:rsidRPr="002C55B3" w:rsidRDefault="00B558D7" w:rsidP="00B558D7"/>
    <w:p w:rsidR="00B558D7" w:rsidRPr="002C55B3" w:rsidRDefault="00B558D7" w:rsidP="00B558D7">
      <w:r w:rsidRPr="002C55B3">
        <w:t>Manuscripts in preparation, submitted, unpublished theses, or other inaccessible sources should be cited in text by giving the author(s) initial(s), last name(s), and ‘pers. comm.’ or ‘</w:t>
      </w:r>
      <w:proofErr w:type="spellStart"/>
      <w:r w:rsidRPr="002C55B3">
        <w:t>unpubl</w:t>
      </w:r>
      <w:proofErr w:type="spellEnd"/>
      <w:r w:rsidRPr="002C55B3">
        <w:t xml:space="preserve">.’ </w:t>
      </w:r>
      <w:proofErr w:type="gramStart"/>
      <w:r w:rsidRPr="002C55B3">
        <w:t xml:space="preserve">For example, (A. B. Jones </w:t>
      </w:r>
      <w:proofErr w:type="spellStart"/>
      <w:r w:rsidRPr="002C55B3">
        <w:t>unpubl</w:t>
      </w:r>
      <w:proofErr w:type="spellEnd"/>
      <w:r w:rsidRPr="002C55B3">
        <w:t>.)</w:t>
      </w:r>
      <w:proofErr w:type="gramEnd"/>
      <w:r w:rsidRPr="002C55B3">
        <w:t xml:space="preserve"> Such materials should not appear in the References.</w:t>
      </w:r>
    </w:p>
    <w:p w:rsidR="00B558D7" w:rsidRPr="00B558D7" w:rsidRDefault="00B558D7" w:rsidP="00B558D7">
      <w:pPr>
        <w:rPr>
          <w:b/>
        </w:rPr>
      </w:pPr>
    </w:p>
    <w:p w:rsidR="00B558D7" w:rsidRPr="002C55B3" w:rsidRDefault="00B558D7" w:rsidP="00B558D7">
      <w:r w:rsidRPr="002C55B3">
        <w:t xml:space="preserve">Papers which are accepted for publication but for which exact publication data are not yet available should be formatted according to the above examples but with the phrase “In press” appearing instead of the year of publication. If a cited paper has been published on line, please refer to it by the year of the online publication and by the </w:t>
      </w:r>
      <w:proofErr w:type="spellStart"/>
      <w:r w:rsidRPr="002C55B3">
        <w:t>doi</w:t>
      </w:r>
      <w:proofErr w:type="spellEnd"/>
      <w:r w:rsidRPr="002C55B3">
        <w:t xml:space="preserve"> number; reference to the final publication, with updated year of publication and volume and page numbers in addition to the </w:t>
      </w:r>
      <w:proofErr w:type="spellStart"/>
      <w:r w:rsidRPr="002C55B3">
        <w:t>doi</w:t>
      </w:r>
      <w:proofErr w:type="spellEnd"/>
      <w:r w:rsidRPr="002C55B3">
        <w:t xml:space="preserve"> number is always preferable when possible.</w:t>
      </w:r>
    </w:p>
    <w:p w:rsidR="00B558D7" w:rsidRPr="002C55B3" w:rsidRDefault="00B558D7" w:rsidP="00B558D7"/>
    <w:p w:rsidR="00B558D7" w:rsidRPr="002C55B3" w:rsidRDefault="00B558D7" w:rsidP="00B558D7">
      <w:r w:rsidRPr="002C55B3">
        <w:t xml:space="preserve">For abbreviations of journal names refer to Chemical Abstracts Service Source Index (CASSI) or </w:t>
      </w:r>
      <w:proofErr w:type="spellStart"/>
      <w:r w:rsidRPr="002C55B3">
        <w:t>Biosis</w:t>
      </w:r>
      <w:proofErr w:type="spellEnd"/>
      <w:r w:rsidRPr="002C55B3">
        <w:t>.</w:t>
      </w:r>
    </w:p>
    <w:p w:rsidR="00B558D7" w:rsidRPr="002C55B3" w:rsidRDefault="00B558D7" w:rsidP="00B558D7"/>
    <w:p w:rsidR="00B558D7" w:rsidRPr="002C55B3" w:rsidRDefault="00B558D7" w:rsidP="00B558D7">
      <w:r w:rsidRPr="002C55B3">
        <w:t>Make sure that each citation is complete, according to the following examples:</w:t>
      </w:r>
    </w:p>
    <w:p w:rsidR="00B558D7" w:rsidRPr="002C55B3" w:rsidRDefault="00B558D7" w:rsidP="00B558D7"/>
    <w:p w:rsidR="00B558D7" w:rsidRPr="002C55B3" w:rsidRDefault="00B558D7" w:rsidP="00B558D7">
      <w:r w:rsidRPr="002C55B3">
        <w:lastRenderedPageBreak/>
        <w:t>Article:</w:t>
      </w:r>
    </w:p>
    <w:p w:rsidR="00B558D7" w:rsidRPr="002C55B3" w:rsidRDefault="00B558D7" w:rsidP="00B558D7">
      <w:proofErr w:type="spellStart"/>
      <w:r w:rsidRPr="002C55B3">
        <w:t>Fenchel</w:t>
      </w:r>
      <w:proofErr w:type="spellEnd"/>
      <w:r w:rsidRPr="002C55B3">
        <w:t xml:space="preserve">, T. 1986. </w:t>
      </w:r>
      <w:proofErr w:type="gramStart"/>
      <w:r w:rsidRPr="002C55B3">
        <w:t>Protozoan filter</w:t>
      </w:r>
      <w:proofErr w:type="gramEnd"/>
      <w:r w:rsidRPr="002C55B3">
        <w:t xml:space="preserve"> feeding. </w:t>
      </w:r>
      <w:proofErr w:type="spellStart"/>
      <w:proofErr w:type="gramStart"/>
      <w:r w:rsidRPr="002C55B3">
        <w:t>Prog</w:t>
      </w:r>
      <w:proofErr w:type="spellEnd"/>
      <w:r w:rsidRPr="002C55B3">
        <w:t>.</w:t>
      </w:r>
      <w:proofErr w:type="gramEnd"/>
      <w:r w:rsidRPr="002C55B3">
        <w:t xml:space="preserve"> </w:t>
      </w:r>
      <w:proofErr w:type="spellStart"/>
      <w:proofErr w:type="gramStart"/>
      <w:r w:rsidRPr="002C55B3">
        <w:t>Protistol</w:t>
      </w:r>
      <w:proofErr w:type="spellEnd"/>
      <w:r w:rsidRPr="002C55B3">
        <w:t>.</w:t>
      </w:r>
      <w:proofErr w:type="gramEnd"/>
      <w:r w:rsidRPr="002C55B3">
        <w:t xml:space="preserve"> 1: 65-113.</w:t>
      </w:r>
    </w:p>
    <w:p w:rsidR="00B558D7" w:rsidRPr="002C55B3" w:rsidRDefault="00B558D7" w:rsidP="00B558D7">
      <w:r w:rsidRPr="002C55B3">
        <w:t>Articles with a Digital Object Identifier (</w:t>
      </w:r>
      <w:proofErr w:type="spellStart"/>
      <w:r w:rsidRPr="002C55B3">
        <w:t>doi</w:t>
      </w:r>
      <w:proofErr w:type="spellEnd"/>
      <w:r w:rsidRPr="002C55B3">
        <w:t>):</w:t>
      </w:r>
    </w:p>
    <w:p w:rsidR="00B558D7" w:rsidRPr="002C55B3" w:rsidRDefault="00B558D7" w:rsidP="00B558D7">
      <w:proofErr w:type="gramStart"/>
      <w:r w:rsidRPr="002C55B3">
        <w:t>De Pol-</w:t>
      </w:r>
      <w:proofErr w:type="spellStart"/>
      <w:r w:rsidRPr="002C55B3">
        <w:t>Holz</w:t>
      </w:r>
      <w:proofErr w:type="spellEnd"/>
      <w:r w:rsidRPr="002C55B3">
        <w:t xml:space="preserve">, R., O. Ulloa, L. </w:t>
      </w:r>
      <w:proofErr w:type="spellStart"/>
      <w:r w:rsidRPr="002C55B3">
        <w:t>Dezileau</w:t>
      </w:r>
      <w:proofErr w:type="spellEnd"/>
      <w:r w:rsidRPr="002C55B3">
        <w:t xml:space="preserve">, J. Kaiser, F. </w:t>
      </w:r>
      <w:proofErr w:type="spellStart"/>
      <w:r w:rsidRPr="002C55B3">
        <w:t>Lamy</w:t>
      </w:r>
      <w:proofErr w:type="spellEnd"/>
      <w:r w:rsidRPr="002C55B3">
        <w:t xml:space="preserve">, and D. </w:t>
      </w:r>
      <w:proofErr w:type="spellStart"/>
      <w:r w:rsidRPr="002C55B3">
        <w:t>Hebbeln</w:t>
      </w:r>
      <w:proofErr w:type="spellEnd"/>
      <w:r w:rsidRPr="002C55B3">
        <w:t>.</w:t>
      </w:r>
      <w:proofErr w:type="gramEnd"/>
      <w:r w:rsidRPr="002C55B3">
        <w:t xml:space="preserve"> 2006. Melting of the </w:t>
      </w:r>
      <w:proofErr w:type="spellStart"/>
      <w:r w:rsidRPr="002C55B3">
        <w:t>patagonian</w:t>
      </w:r>
      <w:proofErr w:type="spellEnd"/>
      <w:r w:rsidRPr="002C55B3">
        <w:t xml:space="preserve"> ice sheet and </w:t>
      </w:r>
      <w:proofErr w:type="spellStart"/>
      <w:r w:rsidRPr="002C55B3">
        <w:t>deglacial</w:t>
      </w:r>
      <w:proofErr w:type="spellEnd"/>
      <w:r w:rsidRPr="002C55B3">
        <w:t xml:space="preserve"> perturbations of the nitrogen cycle in the eastern South Pacific. </w:t>
      </w:r>
      <w:proofErr w:type="spellStart"/>
      <w:proofErr w:type="gramStart"/>
      <w:r w:rsidRPr="002C55B3">
        <w:t>Geophys</w:t>
      </w:r>
      <w:proofErr w:type="spellEnd"/>
      <w:r w:rsidRPr="002C55B3">
        <w:t>.</w:t>
      </w:r>
      <w:proofErr w:type="gramEnd"/>
      <w:r w:rsidRPr="002C55B3">
        <w:t xml:space="preserve"> Res. Lett. 33: L04704, doi</w:t>
      </w:r>
      <w:proofErr w:type="gramStart"/>
      <w:r w:rsidRPr="002C55B3">
        <w:t>:10.1029</w:t>
      </w:r>
      <w:proofErr w:type="gramEnd"/>
      <w:r w:rsidRPr="002C55B3">
        <w:t>/2005GL024477</w:t>
      </w:r>
    </w:p>
    <w:p w:rsidR="00B558D7" w:rsidRPr="002C55B3" w:rsidRDefault="00B558D7" w:rsidP="00B558D7">
      <w:r w:rsidRPr="002C55B3">
        <w:t>Book:</w:t>
      </w:r>
    </w:p>
    <w:p w:rsidR="00B558D7" w:rsidRPr="002C55B3" w:rsidRDefault="00B558D7" w:rsidP="00B558D7">
      <w:proofErr w:type="spellStart"/>
      <w:proofErr w:type="gramStart"/>
      <w:r w:rsidRPr="002C55B3">
        <w:t>Stumm</w:t>
      </w:r>
      <w:proofErr w:type="spellEnd"/>
      <w:r w:rsidRPr="002C55B3">
        <w:t>, W., and J. Morgan.</w:t>
      </w:r>
      <w:proofErr w:type="gramEnd"/>
      <w:r w:rsidRPr="002C55B3">
        <w:t xml:space="preserve"> 1981. Aquatic chemistry, 2nd </w:t>
      </w:r>
      <w:proofErr w:type="spellStart"/>
      <w:r w:rsidRPr="002C55B3">
        <w:t>ed.Wiley</w:t>
      </w:r>
      <w:proofErr w:type="spellEnd"/>
      <w:r w:rsidRPr="002C55B3">
        <w:t>.</w:t>
      </w:r>
    </w:p>
    <w:p w:rsidR="00B558D7" w:rsidRPr="002C55B3" w:rsidRDefault="00B558D7" w:rsidP="00B558D7">
      <w:r w:rsidRPr="002C55B3">
        <w:t>Chapter:</w:t>
      </w:r>
    </w:p>
    <w:p w:rsidR="00B558D7" w:rsidRPr="002C55B3" w:rsidRDefault="00B558D7" w:rsidP="00B558D7">
      <w:proofErr w:type="spellStart"/>
      <w:r w:rsidRPr="002C55B3">
        <w:t>Codispoti</w:t>
      </w:r>
      <w:proofErr w:type="spellEnd"/>
      <w:r w:rsidRPr="002C55B3">
        <w:t xml:space="preserve">, L. A. 1983. </w:t>
      </w:r>
      <w:proofErr w:type="gramStart"/>
      <w:r w:rsidRPr="002C55B3">
        <w:t>Nitrogen in upwelling systems, p. 513-564.</w:t>
      </w:r>
      <w:proofErr w:type="gramEnd"/>
      <w:r w:rsidRPr="002C55B3">
        <w:t xml:space="preserve"> </w:t>
      </w:r>
      <w:proofErr w:type="gramStart"/>
      <w:r w:rsidRPr="002C55B3">
        <w:t>In E. J. Carpenter and D. G. Capone [eds.], Nitrogen in the marine environment.</w:t>
      </w:r>
      <w:proofErr w:type="gramEnd"/>
      <w:r w:rsidRPr="002C55B3">
        <w:t xml:space="preserve"> </w:t>
      </w:r>
      <w:proofErr w:type="gramStart"/>
      <w:r w:rsidRPr="002C55B3">
        <w:t>Academic.</w:t>
      </w:r>
      <w:proofErr w:type="gramEnd"/>
    </w:p>
    <w:p w:rsidR="00B558D7" w:rsidRPr="002C55B3" w:rsidRDefault="00B558D7" w:rsidP="00B558D7">
      <w:r w:rsidRPr="002C55B3">
        <w:t>Thesis:</w:t>
      </w:r>
    </w:p>
    <w:p w:rsidR="00B558D7" w:rsidRPr="002C55B3" w:rsidRDefault="00B558D7" w:rsidP="00B558D7">
      <w:proofErr w:type="spellStart"/>
      <w:r w:rsidRPr="002C55B3">
        <w:t>Kimmance</w:t>
      </w:r>
      <w:proofErr w:type="spellEnd"/>
      <w:r w:rsidRPr="002C55B3">
        <w:t xml:space="preserve">, S. A. 2001. </w:t>
      </w:r>
      <w:proofErr w:type="gramStart"/>
      <w:r w:rsidRPr="002C55B3">
        <w:t>The interactive effect of temperature and food concentration on plankton grazing and growth rates.</w:t>
      </w:r>
      <w:proofErr w:type="gramEnd"/>
      <w:r w:rsidRPr="002C55B3">
        <w:t xml:space="preserve"> </w:t>
      </w:r>
      <w:proofErr w:type="gramStart"/>
      <w:r w:rsidRPr="002C55B3">
        <w:t>Ph.D. thesis.</w:t>
      </w:r>
      <w:proofErr w:type="gramEnd"/>
      <w:r w:rsidRPr="002C55B3">
        <w:t xml:space="preserve"> </w:t>
      </w:r>
      <w:proofErr w:type="gramStart"/>
      <w:r w:rsidRPr="002C55B3">
        <w:t>Univ. of Liverpool.</w:t>
      </w:r>
      <w:proofErr w:type="gramEnd"/>
    </w:p>
    <w:p w:rsidR="00B558D7" w:rsidRPr="002C55B3" w:rsidRDefault="00B558D7" w:rsidP="00B558D7">
      <w:r w:rsidRPr="002C55B3">
        <w:t>Websites:</w:t>
      </w:r>
    </w:p>
    <w:p w:rsidR="00B558D7" w:rsidRPr="002C55B3" w:rsidRDefault="00B558D7" w:rsidP="00B558D7">
      <w:r w:rsidRPr="002C55B3">
        <w:t>A website may be referred to only if it is associated with an organization that is committed to maintaining it in perpetuity. Websites are referred to only in the text (provide URL and last accessed date) and are not included in the list of references. Personal or university-based websites are not allowed because such websites are prone to disappear when the scientist who created them moves or loses interest in material.</w:t>
      </w:r>
    </w:p>
    <w:p w:rsidR="00B558D7" w:rsidRPr="00B558D7" w:rsidRDefault="00B558D7" w:rsidP="00B558D7">
      <w:pPr>
        <w:rPr>
          <w:b/>
        </w:rPr>
      </w:pPr>
    </w:p>
    <w:p w:rsidR="00B558D7" w:rsidRPr="004360B9" w:rsidRDefault="00B558D7" w:rsidP="00B558D7">
      <w:r w:rsidRPr="004360B9">
        <w:t>Acknowledgments</w:t>
      </w:r>
    </w:p>
    <w:p w:rsidR="00B558D7" w:rsidRPr="004360B9" w:rsidRDefault="00B558D7" w:rsidP="00B558D7">
      <w:r w:rsidRPr="004360B9">
        <w:t>Acknowledgements should be typed double spaced on a separate page. They should contain brief statements about granting agencies, notable aid from individuals and institutions, and potential conflicts of interest. Acknowledgements should name anyone who made a substantial contribution to the work (e.g., data collection, analysis, or writing or editing assistance) but who did not fulfill the authorship criteria, along with their specific contributions.</w:t>
      </w:r>
    </w:p>
    <w:p w:rsidR="00B558D7" w:rsidRPr="004360B9" w:rsidRDefault="00B558D7" w:rsidP="00B558D7">
      <w:r w:rsidRPr="004360B9">
        <w:t>Because citation in the Acknowledgements may be interpreted as endorsement of the data or conclusions, all persons named in the Acknowledgment section must have given permission to be named.</w:t>
      </w:r>
    </w:p>
    <w:p w:rsidR="00B558D7" w:rsidRPr="004360B9" w:rsidRDefault="00B558D7" w:rsidP="00B558D7"/>
    <w:p w:rsidR="00B558D7" w:rsidRPr="002C55B3" w:rsidRDefault="00B558D7" w:rsidP="00B558D7"/>
    <w:p w:rsidR="00B558D7" w:rsidRPr="002C55B3" w:rsidRDefault="00B558D7" w:rsidP="00B558D7">
      <w:r w:rsidRPr="002C55B3">
        <w:t>Figure Legends</w:t>
      </w:r>
    </w:p>
    <w:p w:rsidR="00B558D7" w:rsidRPr="002C55B3" w:rsidRDefault="00B558D7" w:rsidP="00B558D7"/>
    <w:p w:rsidR="00B558D7" w:rsidRPr="002C55B3" w:rsidRDefault="00B558D7" w:rsidP="00B558D7">
      <w:r w:rsidRPr="002C55B3">
        <w:t>List all figure legends on a single page. Give a brief explanation of the figure itself, including each panel and any symbols that may appear in the figures.</w:t>
      </w:r>
    </w:p>
    <w:p w:rsidR="00B558D7" w:rsidRPr="00B558D7" w:rsidRDefault="00B558D7" w:rsidP="00B558D7">
      <w:pPr>
        <w:rPr>
          <w:b/>
        </w:rPr>
      </w:pPr>
    </w:p>
    <w:p w:rsidR="00B558D7" w:rsidRPr="0012760C" w:rsidRDefault="00B558D7" w:rsidP="00B558D7"/>
    <w:p w:rsidR="00B558D7" w:rsidRPr="0012760C" w:rsidRDefault="00B558D7" w:rsidP="00B558D7">
      <w:r w:rsidRPr="0012760C">
        <w:t>Tables</w:t>
      </w:r>
    </w:p>
    <w:p w:rsidR="00B558D7" w:rsidRPr="0012760C" w:rsidRDefault="00B558D7" w:rsidP="00B558D7"/>
    <w:p w:rsidR="00B558D7" w:rsidRPr="0012760C" w:rsidRDefault="00B558D7" w:rsidP="00B558D7">
      <w:r w:rsidRPr="0012760C">
        <w:t>Use Arabic numerals to number each table sequentially in order of their citation in text; table titles should be brief. Start each table on a new page; double-space all information in tables. Format tables so they will fit on a printed page; a 1-column table can be up to 60 characters wide, a 2-column table can be up to 130 characters wide. Tables larger than 130 characters wide should be avoided at all costs. Additional explanatory text, including descriptions of various tests, should be placed as a footnote. Avoid lengthy footnotes.</w:t>
      </w:r>
    </w:p>
    <w:p w:rsidR="00B558D7" w:rsidRPr="00B558D7" w:rsidRDefault="00B558D7" w:rsidP="00B558D7">
      <w:pPr>
        <w:rPr>
          <w:b/>
        </w:rPr>
      </w:pPr>
    </w:p>
    <w:p w:rsidR="00B558D7" w:rsidRPr="00B558D7" w:rsidRDefault="00B558D7" w:rsidP="00B558D7">
      <w:pPr>
        <w:rPr>
          <w:b/>
        </w:rPr>
      </w:pPr>
    </w:p>
    <w:p w:rsidR="00B558D7" w:rsidRPr="008E7A93" w:rsidRDefault="00B558D7" w:rsidP="00B558D7">
      <w:pPr>
        <w:rPr>
          <w:u w:val="single"/>
        </w:rPr>
      </w:pPr>
      <w:r w:rsidRPr="008E7A93">
        <w:rPr>
          <w:u w:val="single"/>
        </w:rPr>
        <w:t>Figures</w:t>
      </w:r>
    </w:p>
    <w:p w:rsidR="00B558D7" w:rsidRPr="008E7A93" w:rsidRDefault="00B558D7" w:rsidP="00B558D7">
      <w:pPr>
        <w:rPr>
          <w:u w:val="single"/>
        </w:rPr>
      </w:pPr>
      <w:r w:rsidRPr="008E7A93">
        <w:rPr>
          <w:u w:val="single"/>
        </w:rPr>
        <w:t>Authors have the option of either embedding figures in the manuscript, or uploading them as separate files. For review purposes only, the preferred method is to embed all figures and upload your manuscript as a complete PDF file. If embedded, figures should appear in the order cited and as close as possible to the text in which they are first cited. Figure legends should appear beneath embedded figures. If uploaded separately, figure legends should follow the references in the manuscript.</w:t>
      </w:r>
    </w:p>
    <w:p w:rsidR="00B558D7" w:rsidRPr="008E7A93" w:rsidRDefault="00B558D7" w:rsidP="00B558D7">
      <w:pPr>
        <w:rPr>
          <w:b/>
          <w:u w:val="single"/>
        </w:rPr>
      </w:pPr>
      <w:r w:rsidRPr="008E7A93">
        <w:rPr>
          <w:b/>
          <w:u w:val="single"/>
        </w:rPr>
        <w:t xml:space="preserve">Upon acceptance, we will ask you to submit figures as individual high-resolution TIFF, EPS (vector graphics), PDF (with fonts embedded), </w:t>
      </w:r>
      <w:proofErr w:type="gramStart"/>
      <w:r w:rsidRPr="008E7A93">
        <w:rPr>
          <w:b/>
          <w:u w:val="single"/>
        </w:rPr>
        <w:t>PPT</w:t>
      </w:r>
      <w:proofErr w:type="gramEnd"/>
      <w:r w:rsidRPr="008E7A93">
        <w:rPr>
          <w:b/>
          <w:u w:val="single"/>
        </w:rPr>
        <w:t>/PPTX, DOC/DOCX, or AI files. Number each figure with Arabic numerals in order of their citation in text. Label multipart figures with consecutive letters of the alphabet, using a lower case letter (a, b, c, etc.). Place this letter in the upper left corner of the figure, outside the figure itself (not in the figure).</w:t>
      </w:r>
    </w:p>
    <w:p w:rsidR="00B558D7" w:rsidRPr="00B558D7" w:rsidRDefault="00B558D7" w:rsidP="00B558D7">
      <w:pPr>
        <w:rPr>
          <w:b/>
        </w:rPr>
      </w:pPr>
      <w:r w:rsidRPr="00B558D7">
        <w:rPr>
          <w:b/>
        </w:rPr>
        <w:t>To ensure the highest reproduction quality, figures should be submitted according to the following minimum resolutions:</w:t>
      </w:r>
    </w:p>
    <w:p w:rsidR="00B558D7" w:rsidRPr="00B558D7" w:rsidRDefault="00B558D7" w:rsidP="00B558D7">
      <w:pPr>
        <w:rPr>
          <w:b/>
        </w:rPr>
      </w:pPr>
    </w:p>
    <w:p w:rsidR="00B558D7" w:rsidRPr="00B558D7" w:rsidRDefault="00B558D7" w:rsidP="00B558D7">
      <w:pPr>
        <w:rPr>
          <w:b/>
        </w:rPr>
      </w:pPr>
      <w:proofErr w:type="gramStart"/>
      <w:r w:rsidRPr="00B558D7">
        <w:rPr>
          <w:b/>
        </w:rPr>
        <w:t>300 dpi (dots per inch) for black and white or color line art (simple bar graphs, charts, etc.)</w:t>
      </w:r>
      <w:proofErr w:type="gramEnd"/>
    </w:p>
    <w:p w:rsidR="00B558D7" w:rsidRPr="00B558D7" w:rsidRDefault="00B558D7" w:rsidP="00B558D7">
      <w:pPr>
        <w:rPr>
          <w:b/>
        </w:rPr>
      </w:pPr>
      <w:r w:rsidRPr="00B558D7">
        <w:rPr>
          <w:b/>
        </w:rPr>
        <w:t>300 dpi for halftones (black and white or color line photographs)</w:t>
      </w:r>
    </w:p>
    <w:p w:rsidR="00B558D7" w:rsidRPr="00B558D7" w:rsidRDefault="00B558D7" w:rsidP="00B558D7">
      <w:pPr>
        <w:rPr>
          <w:b/>
        </w:rPr>
      </w:pPr>
      <w:r w:rsidRPr="00B558D7">
        <w:rPr>
          <w:b/>
        </w:rPr>
        <w:t>300 dpi for combination color or halftones (photographs that also contain line art such as labeling or thin lines)</w:t>
      </w:r>
    </w:p>
    <w:p w:rsidR="00B558D7" w:rsidRPr="00B558D7" w:rsidRDefault="00B558D7" w:rsidP="00B558D7">
      <w:pPr>
        <w:rPr>
          <w:b/>
        </w:rPr>
      </w:pPr>
      <w:r w:rsidRPr="00B558D7">
        <w:rPr>
          <w:b/>
        </w:rPr>
        <w:lastRenderedPageBreak/>
        <w:t>This specification means that a figure which you wish to be printed at a size, for example, of 2 x 2 inches will be 2,400 dots wide (black and white line art), or 600 dots wide (halftone). Vector-based figures (e.g., figures created in Adobe Illustrator) should be submitted in EPS format. Figure sizes should be no more than 5 inches in width and 6 inches in height.</w:t>
      </w:r>
    </w:p>
    <w:p w:rsidR="00B558D7" w:rsidRPr="00B558D7" w:rsidRDefault="00B558D7" w:rsidP="00B558D7">
      <w:pPr>
        <w:rPr>
          <w:b/>
        </w:rPr>
      </w:pPr>
      <w:r w:rsidRPr="00B558D7">
        <w:rPr>
          <w:b/>
        </w:rPr>
        <w:t>General Appearance</w:t>
      </w:r>
    </w:p>
    <w:p w:rsidR="00B558D7" w:rsidRPr="00B558D7" w:rsidRDefault="00B558D7" w:rsidP="00B558D7">
      <w:pPr>
        <w:rPr>
          <w:b/>
        </w:rPr>
      </w:pPr>
      <w:r w:rsidRPr="00B558D7">
        <w:rPr>
          <w:b/>
        </w:rPr>
        <w:t>Halftones (gray scale images) do not reproduce well. Avoid small dotted lines, shading, and stippling. For bar graphs, use black, white, striped, hatched, or colored designs, but only if they are sufficiently wide or separated in order to appear distinct from one another. If no important information will be lost, consider placing fewer numbers on the axes to achieve an uncluttered look. Make lines on maps bold and distinct and eliminate information not pertinent to the subject. Include symbol and acronym definitions in the figure legend, not on the figure itself. Put scale bars on the figures, not in the figure legends. Make figures as simple as possible; avoid gridlines and boxes. Maps generally should include longitude and latitude, an indication of compass direction, and a thin line as a border.</w:t>
      </w:r>
    </w:p>
    <w:p w:rsidR="00B558D7" w:rsidRPr="00B558D7" w:rsidRDefault="00B558D7" w:rsidP="00B558D7">
      <w:pPr>
        <w:rPr>
          <w:b/>
        </w:rPr>
      </w:pPr>
      <w:r w:rsidRPr="00B558D7">
        <w:rPr>
          <w:b/>
        </w:rPr>
        <w:t>Size and Proportion</w:t>
      </w:r>
    </w:p>
    <w:p w:rsidR="00B558D7" w:rsidRPr="00B558D7" w:rsidRDefault="00B558D7" w:rsidP="00B558D7">
      <w:pPr>
        <w:rPr>
          <w:b/>
        </w:rPr>
      </w:pPr>
      <w:r w:rsidRPr="00B558D7">
        <w:rPr>
          <w:b/>
        </w:rPr>
        <w:t xml:space="preserve">When possible, submit figures in the size you wish to have them appear in the journal. Most illustrations, except some maps and very wide graphs, should be 1-column size (3.5 inches) and a resolution of 300 dpi. The font size on the x and y axes should not be larger than that of the title, and the same font (Arial or Times New Roman is preferred) should be used throughout. Numbers on the x and y axes should be smaller than the descriptive title, which should be 12-point font. </w:t>
      </w:r>
      <w:proofErr w:type="gramStart"/>
      <w:r w:rsidRPr="00B558D7">
        <w:rPr>
          <w:b/>
        </w:rPr>
        <w:t>Fonts smaller than 12 points are generally not legible when reduced to 1 column size.</w:t>
      </w:r>
      <w:proofErr w:type="gramEnd"/>
      <w:r w:rsidRPr="00B558D7">
        <w:rPr>
          <w:b/>
        </w:rPr>
        <w:t xml:space="preserve"> Use boldface type with care; if illustrations are to be reduced, the letters with open spaces will disappear. Use sentence case (capitalize the first word ONLY) for axis titles, labels, and legends.</w:t>
      </w:r>
    </w:p>
    <w:p w:rsidR="00B558D7" w:rsidRPr="008E7A93" w:rsidRDefault="00B558D7" w:rsidP="00B558D7">
      <w:r w:rsidRPr="008E7A93">
        <w:t>Shading</w:t>
      </w:r>
    </w:p>
    <w:p w:rsidR="00B558D7" w:rsidRPr="008E7A93" w:rsidRDefault="00B558D7" w:rsidP="00B558D7">
      <w:r w:rsidRPr="008E7A93">
        <w:t>Half-tones (gray scale) and stippling do not reproduce well. Occasionally, graphs are composed with four or more half tones that are barely discernible in the original; invariably the difference is lost entirely in print. Diagonal and horizontal stripes, checks, and solid black or white bars reprint well. If many differences must be presented, a color illustration may be the best alternative.</w:t>
      </w:r>
    </w:p>
    <w:p w:rsidR="00B558D7" w:rsidRPr="00B558D7" w:rsidRDefault="00B558D7" w:rsidP="00B558D7">
      <w:pPr>
        <w:rPr>
          <w:b/>
        </w:rPr>
      </w:pPr>
      <w:r w:rsidRPr="00B558D7">
        <w:rPr>
          <w:b/>
        </w:rPr>
        <w:t>Symbols and Lines</w:t>
      </w:r>
    </w:p>
    <w:p w:rsidR="00B558D7" w:rsidRPr="00B558D7" w:rsidRDefault="00B558D7" w:rsidP="00B558D7">
      <w:pPr>
        <w:rPr>
          <w:b/>
        </w:rPr>
      </w:pPr>
      <w:r w:rsidRPr="00B558D7">
        <w:rPr>
          <w:b/>
        </w:rPr>
        <w:t>Avoid very small symbols (no smaller than 2 mm) on line graphs; print all elements of the graph with the same degree of intensity.</w:t>
      </w:r>
    </w:p>
    <w:p w:rsidR="00B558D7" w:rsidRPr="00B558D7" w:rsidRDefault="00B558D7" w:rsidP="00B558D7">
      <w:pPr>
        <w:rPr>
          <w:b/>
        </w:rPr>
      </w:pPr>
      <w:r w:rsidRPr="00B558D7">
        <w:rPr>
          <w:b/>
        </w:rPr>
        <w:t>Color Figures</w:t>
      </w:r>
    </w:p>
    <w:p w:rsidR="00B558D7" w:rsidRPr="00B558D7" w:rsidRDefault="00B558D7" w:rsidP="00B558D7">
      <w:pPr>
        <w:rPr>
          <w:b/>
        </w:rPr>
      </w:pPr>
      <w:r w:rsidRPr="00B558D7">
        <w:rPr>
          <w:b/>
        </w:rPr>
        <w:t xml:space="preserve">In addition to the above guidelines, color figures must be submitted in the RGB </w:t>
      </w:r>
      <w:proofErr w:type="spellStart"/>
      <w:r w:rsidRPr="00B558D7">
        <w:rPr>
          <w:b/>
        </w:rPr>
        <w:t>colorspace</w:t>
      </w:r>
      <w:proofErr w:type="spellEnd"/>
      <w:r w:rsidRPr="00B558D7">
        <w:rPr>
          <w:b/>
        </w:rPr>
        <w:t>. There is no surcharge for the use of color versus black and white or grayscale figures. However, color should be used only when it is needed to carry information, and not merely to make figures more colorful. Line art, for example, should rarely need colored lines to be clear and unambiguous. Authors are expected to use color sparingly.</w:t>
      </w:r>
    </w:p>
    <w:p w:rsidR="00B558D7" w:rsidRPr="00B558D7" w:rsidRDefault="00B558D7" w:rsidP="00B558D7">
      <w:pPr>
        <w:rPr>
          <w:b/>
        </w:rPr>
      </w:pPr>
    </w:p>
    <w:p w:rsidR="00B558D7" w:rsidRPr="008E7A93" w:rsidRDefault="00B558D7" w:rsidP="00B558D7">
      <w:r w:rsidRPr="008E7A93">
        <w:lastRenderedPageBreak/>
        <w:t>Permissions and Copyright</w:t>
      </w:r>
    </w:p>
    <w:p w:rsidR="00B558D7" w:rsidRPr="008E7A93" w:rsidRDefault="00B558D7" w:rsidP="00B558D7"/>
    <w:p w:rsidR="00B558D7" w:rsidRPr="008E7A93" w:rsidRDefault="00B558D7" w:rsidP="00B558D7">
      <w:r w:rsidRPr="008E7A93">
        <w:t>Authors are responsible for obtaining permission to reprint a previously published table, figure, or extract of more than 250 words and for submitting written permissions with their manuscript. Acknowledgement alone is not sufficient; if in doubt, obtain permission. Permissions should be submitted quickly after your paper is accepted to avoid any delays in publication. Authors should exercise customary professional courtesy in acknowledging intellectual properties such as patents and trademarks. Authors wishing to reprint illustrations or text previously published in L&amp;O: Methods should contact http://www.wiley.com/go/permissions.</w:t>
      </w:r>
    </w:p>
    <w:p w:rsidR="00B558D7" w:rsidRPr="008E7A93" w:rsidRDefault="00B558D7" w:rsidP="00B558D7"/>
    <w:p w:rsidR="00B558D7" w:rsidRPr="008E7A93" w:rsidRDefault="00B558D7" w:rsidP="00B558D7"/>
    <w:p w:rsidR="00B558D7" w:rsidRPr="008E7A93" w:rsidRDefault="00B558D7" w:rsidP="00B558D7">
      <w:r w:rsidRPr="008E7A93">
        <w:t>Page Proofs and Publication</w:t>
      </w:r>
    </w:p>
    <w:p w:rsidR="00B558D7" w:rsidRPr="008E7A93" w:rsidRDefault="00B558D7" w:rsidP="00B558D7"/>
    <w:p w:rsidR="00B558D7" w:rsidRPr="008E7A93" w:rsidRDefault="00B558D7" w:rsidP="00B558D7">
      <w:r w:rsidRPr="008E7A93">
        <w:t>Authors are able to track their manuscript through the production process by registering for Author Services (http://authorservices.wiley.com) for additional information. Approximately two weeks after the manuscript is received by the publisher, the corresponding author will be notified via email that the page proofs have been posted to an online proofing system. Authors are responsible for proofreading. Limit changes to correcting printer’s errors when possible. Return the corrected proof to Wiley within 24 hours.</w:t>
      </w:r>
    </w:p>
    <w:p w:rsidR="00B558D7" w:rsidRPr="008E7A93" w:rsidRDefault="00B558D7" w:rsidP="00B558D7"/>
    <w:p w:rsidR="00B558D7" w:rsidRPr="008E7A93" w:rsidRDefault="00B558D7" w:rsidP="00B558D7">
      <w:r w:rsidRPr="008E7A93">
        <w:t>Corrections</w:t>
      </w:r>
    </w:p>
    <w:p w:rsidR="00B558D7" w:rsidRPr="008E7A93" w:rsidRDefault="00B558D7" w:rsidP="00B558D7"/>
    <w:p w:rsidR="00B558D7" w:rsidRPr="008E7A93" w:rsidRDefault="00B558D7" w:rsidP="00B558D7">
      <w:r w:rsidRPr="008E7A93">
        <w:t>Authors should call to attention any significant errors in their published manuscripts to the editorial staff. If necessary, corrections will be published.</w:t>
      </w:r>
    </w:p>
    <w:p w:rsidR="00B558D7" w:rsidRPr="008E7A93" w:rsidRDefault="00B558D7" w:rsidP="00B558D7"/>
    <w:p w:rsidR="00B558D7" w:rsidRPr="008E7A93" w:rsidRDefault="00B558D7" w:rsidP="00B558D7">
      <w:r w:rsidRPr="008E7A93">
        <w:t>Publication Fees and Open Access</w:t>
      </w:r>
    </w:p>
    <w:p w:rsidR="00B558D7" w:rsidRPr="008E7A93" w:rsidRDefault="00B558D7" w:rsidP="00B558D7"/>
    <w:p w:rsidR="00B558D7" w:rsidRPr="008E7A93" w:rsidRDefault="00B558D7" w:rsidP="00B558D7">
      <w:r w:rsidRPr="008E7A93">
        <w:t>Page charges will be levied for submitted manuscripts according to the following formula:</w:t>
      </w:r>
    </w:p>
    <w:p w:rsidR="00B558D7" w:rsidRPr="008E7A93" w:rsidRDefault="00B558D7" w:rsidP="00B558D7"/>
    <w:p w:rsidR="00B558D7" w:rsidRPr="008E7A93" w:rsidRDefault="00B558D7" w:rsidP="00B558D7">
      <w:r w:rsidRPr="008E7A93">
        <w:t>ASLO member (lead or corresponding author): US$60.50 per typeset page;</w:t>
      </w:r>
    </w:p>
    <w:p w:rsidR="00B558D7" w:rsidRPr="008E7A93" w:rsidRDefault="00B558D7" w:rsidP="00B558D7">
      <w:proofErr w:type="gramStart"/>
      <w:r w:rsidRPr="008E7A93">
        <w:t>non-ASLO</w:t>
      </w:r>
      <w:proofErr w:type="gramEnd"/>
      <w:r w:rsidRPr="008E7A93">
        <w:t xml:space="preserve"> member (lead or corresponding author): US$90.75 per page.</w:t>
      </w:r>
    </w:p>
    <w:p w:rsidR="00B558D7" w:rsidRPr="008E7A93" w:rsidRDefault="00B558D7" w:rsidP="00B558D7">
      <w:r w:rsidRPr="008E7A93">
        <w:t xml:space="preserve">Please note: if </w:t>
      </w:r>
      <w:proofErr w:type="spellStart"/>
      <w:r w:rsidRPr="008E7A93">
        <w:t>OnlineOpen</w:t>
      </w:r>
      <w:proofErr w:type="spellEnd"/>
      <w:r w:rsidRPr="008E7A93">
        <w:t xml:space="preserve"> is selected, the standard publication fees will be waived.</w:t>
      </w:r>
    </w:p>
    <w:p w:rsidR="00B558D7" w:rsidRPr="008E7A93" w:rsidRDefault="00B558D7" w:rsidP="00B558D7"/>
    <w:p w:rsidR="00B558D7" w:rsidRPr="008E7A93" w:rsidRDefault="00B558D7" w:rsidP="00B558D7"/>
    <w:p w:rsidR="00B558D7" w:rsidRPr="008E7A93" w:rsidRDefault="00B558D7" w:rsidP="00B558D7">
      <w:r w:rsidRPr="008E7A93">
        <w:t>Open Access</w:t>
      </w:r>
    </w:p>
    <w:p w:rsidR="00B558D7" w:rsidRPr="008E7A93" w:rsidRDefault="00B558D7" w:rsidP="00B558D7"/>
    <w:p w:rsidR="00B558D7" w:rsidRPr="008E7A93" w:rsidRDefault="00B558D7" w:rsidP="00B558D7">
      <w:r w:rsidRPr="008E7A93">
        <w:t xml:space="preserve">Any author wishing to publish his or her paper as a part of the publisher’s </w:t>
      </w:r>
      <w:proofErr w:type="spellStart"/>
      <w:r w:rsidRPr="008E7A93">
        <w:t>OnlineOpen</w:t>
      </w:r>
      <w:proofErr w:type="spellEnd"/>
      <w:r w:rsidRPr="008E7A93">
        <w:t xml:space="preserve"> program, which provides open access for all online readers, may read more about Wiley’s </w:t>
      </w:r>
      <w:proofErr w:type="spellStart"/>
      <w:r w:rsidRPr="008E7A93">
        <w:t>OnlineOpen</w:t>
      </w:r>
      <w:proofErr w:type="spellEnd"/>
      <w:r w:rsidRPr="008E7A93">
        <w:t xml:space="preserve"> policy at http://olabout.wiley.com/WileyCDA/Section/id-406241.html.</w:t>
      </w:r>
    </w:p>
    <w:p w:rsidR="00B558D7" w:rsidRPr="008E7A93" w:rsidRDefault="00B558D7" w:rsidP="00B558D7">
      <w:proofErr w:type="spellStart"/>
      <w:r w:rsidRPr="008E7A93">
        <w:t>OnlineOpen</w:t>
      </w:r>
      <w:proofErr w:type="spellEnd"/>
      <w:r w:rsidRPr="008E7A93">
        <w:t xml:space="preserve"> is available to authors of primary research articles who wish to make their article available to non-subscribers on publication, or whose funding agency requires grantees to archive the final version of their article.</w:t>
      </w:r>
    </w:p>
    <w:p w:rsidR="00B558D7" w:rsidRPr="008E7A93" w:rsidRDefault="00B558D7" w:rsidP="00B558D7"/>
    <w:p w:rsidR="00B558D7" w:rsidRPr="008E7A93" w:rsidRDefault="00B558D7" w:rsidP="00B558D7">
      <w:r w:rsidRPr="008E7A93">
        <w:t xml:space="preserve">In addition to publication via Wiley Online Library, authors of </w:t>
      </w:r>
      <w:proofErr w:type="spellStart"/>
      <w:r w:rsidRPr="008E7A93">
        <w:t>OnlineOpen</w:t>
      </w:r>
      <w:proofErr w:type="spellEnd"/>
      <w:r w:rsidRPr="008E7A93">
        <w:t xml:space="preserve"> articles are permitted to post the final, published PDF of their article on a website, institutional repository, or other free public server, immediately on publication. The author, the author's funding agency, or the author's institution pays a fee to ensure that the article is made available to non-subscribers upon publication via Wiley Online Library, as well as deposited in the funding agency's preferred archive.</w:t>
      </w:r>
    </w:p>
    <w:p w:rsidR="00B558D7" w:rsidRPr="008E7A93" w:rsidRDefault="00B558D7" w:rsidP="00B558D7"/>
    <w:p w:rsidR="00B558D7" w:rsidRPr="008E7A93" w:rsidRDefault="00B558D7" w:rsidP="00B558D7">
      <w:r w:rsidRPr="008E7A93">
        <w:t xml:space="preserve">As the corresponding author of an article, you can decide to publish your article with open access once it has been accepted for publication. Within a few days after acceptance, you will receive an email from Author Services with a link to your 'My Publication' page. From here you can choose for your article to be published </w:t>
      </w:r>
      <w:proofErr w:type="spellStart"/>
      <w:r w:rsidRPr="008E7A93">
        <w:t>OnlineOpen</w:t>
      </w:r>
      <w:proofErr w:type="spellEnd"/>
      <w:r w:rsidRPr="008E7A93">
        <w:t xml:space="preserve"> in return for your payment of the open access publication fee.</w:t>
      </w:r>
    </w:p>
    <w:p w:rsidR="00B558D7" w:rsidRPr="008E7A93" w:rsidRDefault="00B558D7" w:rsidP="00B558D7"/>
    <w:p w:rsidR="00200939" w:rsidRPr="008E7A93" w:rsidRDefault="00B558D7" w:rsidP="00B558D7">
      <w:r w:rsidRPr="008E7A93">
        <w:t xml:space="preserve">The fee is $1950 for ASLO members and $2500 for non-ASLO members. If </w:t>
      </w:r>
      <w:proofErr w:type="spellStart"/>
      <w:r w:rsidRPr="008E7A93">
        <w:t>OnlineOpen</w:t>
      </w:r>
      <w:proofErr w:type="spellEnd"/>
      <w:r w:rsidRPr="008E7A93">
        <w:t xml:space="preserve"> is selected, the standard page charge fees will be waived.</w:t>
      </w:r>
    </w:p>
    <w:p w:rsidR="002C55B3" w:rsidRPr="008E7A93" w:rsidRDefault="002C55B3" w:rsidP="00B558D7">
      <w:pPr>
        <w:rPr>
          <w:b/>
        </w:rPr>
      </w:pPr>
    </w:p>
    <w:p w:rsidR="002C55B3" w:rsidRPr="008E7A93" w:rsidRDefault="002C55B3" w:rsidP="00B558D7">
      <w:pPr>
        <w:rPr>
          <w:b/>
        </w:rPr>
      </w:pPr>
      <w:r w:rsidRPr="008E7A93">
        <w:rPr>
          <w:b/>
        </w:rPr>
        <w:t>Supplemental Information— Supplemental information, formerly known as Web Appendices, should be submitted with the manuscript. It is up to the Author to decide whether this information will be appended to the manuscript following the References or if it will be presented in raw form as a separate, openly accessible file. Supplemental information is optional.</w:t>
      </w:r>
    </w:p>
    <w:sectPr w:rsidR="002C55B3" w:rsidRPr="008E7A93">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8D7"/>
    <w:rsid w:val="0012760C"/>
    <w:rsid w:val="00200939"/>
    <w:rsid w:val="002C55B3"/>
    <w:rsid w:val="00303DCF"/>
    <w:rsid w:val="004360B9"/>
    <w:rsid w:val="00893100"/>
    <w:rsid w:val="008E7A93"/>
    <w:rsid w:val="00AC3A1C"/>
    <w:rsid w:val="00B558D7"/>
    <w:rsid w:val="00BD35E5"/>
    <w:rsid w:val="00E668BE"/>
    <w:rsid w:val="00F37318"/>
    <w:rsid w:val="00F817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291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844E80-28F3-43DA-94CF-00F7E359D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11</Pages>
  <Words>3405</Words>
  <Characters>19409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22769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3</cp:revision>
  <dcterms:created xsi:type="dcterms:W3CDTF">2016-03-21T15:38:00Z</dcterms:created>
  <dcterms:modified xsi:type="dcterms:W3CDTF">2016-06-28T00:10:00Z</dcterms:modified>
</cp:coreProperties>
</file>