
<file path=[Content_Types].xml><?xml version="1.0" encoding="utf-8"?>
<Types xmlns="http://schemas.openxmlformats.org/package/2006/content-types">
  <Default Extension="png" ContentType="image/png"/>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4AB4" w:rsidRPr="00950690" w:rsidRDefault="00810300">
      <w:pPr>
        <w:contextualSpacing/>
        <w:rPr>
          <w:sz w:val="40"/>
          <w:szCs w:val="40"/>
        </w:rPr>
      </w:pPr>
      <w:r w:rsidRPr="00950690">
        <w:rPr>
          <w:sz w:val="40"/>
          <w:szCs w:val="40"/>
        </w:rPr>
        <w:t>LASS Seafloor Mapping Triggering Information</w:t>
      </w:r>
    </w:p>
    <w:p w:rsidR="00810300" w:rsidRDefault="00810300">
      <w:pPr>
        <w:contextualSpacing/>
      </w:pPr>
    </w:p>
    <w:p w:rsidR="00810300" w:rsidRDefault="00810300">
      <w:pPr>
        <w:contextualSpacing/>
      </w:pPr>
    </w:p>
    <w:p w:rsidR="00810300" w:rsidRPr="00950690" w:rsidRDefault="00810300">
      <w:pPr>
        <w:contextualSpacing/>
        <w:rPr>
          <w:sz w:val="32"/>
          <w:szCs w:val="32"/>
        </w:rPr>
      </w:pPr>
      <w:r w:rsidRPr="00950690">
        <w:rPr>
          <w:sz w:val="32"/>
          <w:szCs w:val="32"/>
        </w:rPr>
        <w:t>Teledyne Tasman</w:t>
      </w:r>
      <w:r w:rsidR="00816B74">
        <w:rPr>
          <w:sz w:val="32"/>
          <w:szCs w:val="32"/>
        </w:rPr>
        <w:t xml:space="preserve"> DVL</w:t>
      </w:r>
    </w:p>
    <w:p w:rsidR="00810300" w:rsidRPr="00810300" w:rsidRDefault="00810300" w:rsidP="00810300">
      <w:pPr>
        <w:pStyle w:val="Default"/>
        <w:rPr>
          <w:color w:val="062B61"/>
          <w:sz w:val="28"/>
          <w:szCs w:val="28"/>
        </w:rPr>
      </w:pPr>
      <w:r w:rsidRPr="00810300">
        <w:rPr>
          <w:color w:val="062B61"/>
          <w:sz w:val="28"/>
          <w:szCs w:val="28"/>
        </w:rPr>
        <w:t xml:space="preserve">Triggering </w:t>
      </w:r>
    </w:p>
    <w:p w:rsidR="00810300" w:rsidRPr="00816B74" w:rsidRDefault="00810300" w:rsidP="00810300">
      <w:pPr>
        <w:pStyle w:val="Default"/>
        <w:rPr>
          <w:rFonts w:ascii="Arial" w:hAnsi="Arial" w:cs="Arial"/>
          <w:color w:val="0D0D0D"/>
          <w:sz w:val="20"/>
          <w:szCs w:val="20"/>
        </w:rPr>
      </w:pPr>
      <w:r w:rsidRPr="00816B74">
        <w:rPr>
          <w:rFonts w:ascii="Arial" w:hAnsi="Arial" w:cs="Arial"/>
          <w:color w:val="0D0D0D"/>
          <w:sz w:val="20"/>
          <w:szCs w:val="20"/>
        </w:rPr>
        <w:t>Triggering is the most efficient mitigation technique to prevent or minimize interference between the DVL and other external (acoustic) sensors in the vehicle. For example, an external trigger commands the external device and the DVL to alternate their transmissions, and this external synchronization ensures that the two devices will never interfere with each other. There are two methods for triggering the DVL</w:t>
      </w:r>
    </w:p>
    <w:p w:rsidR="00810300" w:rsidRDefault="00810300" w:rsidP="00810300">
      <w:pPr>
        <w:pStyle w:val="Default"/>
        <w:rPr>
          <w:rFonts w:ascii="Georgia" w:hAnsi="Georgia" w:cs="Georgia"/>
          <w:color w:val="0D0D0D"/>
          <w:sz w:val="20"/>
          <w:szCs w:val="20"/>
        </w:rPr>
      </w:pPr>
      <w:r>
        <w:rPr>
          <w:rFonts w:ascii="Georgia" w:hAnsi="Georgia" w:cs="Georgia"/>
          <w:color w:val="0D0D0D"/>
          <w:sz w:val="20"/>
          <w:szCs w:val="20"/>
        </w:rPr>
        <w:t xml:space="preserve"> </w:t>
      </w:r>
    </w:p>
    <w:p w:rsidR="00810300" w:rsidRDefault="00810300" w:rsidP="00810300">
      <w:pPr>
        <w:pStyle w:val="Default"/>
        <w:rPr>
          <w:rFonts w:ascii="Georgia" w:hAnsi="Georgia" w:cs="Georgia"/>
          <w:color w:val="0D0D0D"/>
          <w:sz w:val="20"/>
          <w:szCs w:val="20"/>
        </w:rPr>
      </w:pPr>
      <w:r>
        <w:rPr>
          <w:b/>
          <w:bCs/>
          <w:color w:val="0E56C4"/>
          <w:sz w:val="20"/>
          <w:szCs w:val="20"/>
        </w:rPr>
        <w:t>Sending ASCII Character through Serial Port</w:t>
      </w:r>
      <w:r>
        <w:rPr>
          <w:rFonts w:ascii="Georgia" w:hAnsi="Georgia" w:cs="Georgia"/>
          <w:color w:val="0D0D0D"/>
          <w:sz w:val="20"/>
          <w:szCs w:val="20"/>
        </w:rPr>
        <w:t xml:space="preserve">. </w:t>
      </w:r>
    </w:p>
    <w:p w:rsidR="00810300" w:rsidRPr="00816B74" w:rsidRDefault="00810300" w:rsidP="00810300">
      <w:pPr>
        <w:pStyle w:val="Default"/>
        <w:rPr>
          <w:rFonts w:ascii="Arial" w:hAnsi="Arial" w:cs="Arial"/>
          <w:color w:val="0D0D0D"/>
          <w:sz w:val="20"/>
          <w:szCs w:val="20"/>
        </w:rPr>
      </w:pPr>
      <w:r w:rsidRPr="00816B74">
        <w:rPr>
          <w:rFonts w:ascii="Arial" w:hAnsi="Arial" w:cs="Arial"/>
          <w:color w:val="0D0D0D"/>
          <w:sz w:val="20"/>
          <w:szCs w:val="20"/>
        </w:rPr>
        <w:t xml:space="preserve">When the system is interfaced to a serial port (e.g., a navigation computer), the system can be setup to wait for an input before each ping. To setup the DVL in this fashion, clear the Auto Ping Cycle bit in the </w:t>
      </w:r>
      <w:r w:rsidRPr="00816B74">
        <w:rPr>
          <w:rFonts w:ascii="Arial" w:hAnsi="Arial" w:cs="Arial"/>
          <w:color w:val="0E56C4"/>
          <w:sz w:val="20"/>
          <w:szCs w:val="20"/>
        </w:rPr>
        <w:t xml:space="preserve">CF command </w:t>
      </w:r>
      <w:r w:rsidRPr="00816B74">
        <w:rPr>
          <w:rFonts w:ascii="Arial" w:hAnsi="Arial" w:cs="Arial"/>
          <w:color w:val="0D0D0D"/>
          <w:sz w:val="20"/>
          <w:szCs w:val="20"/>
        </w:rPr>
        <w:t>by sending CFx</w:t>
      </w:r>
      <w:r w:rsidRPr="00816B74">
        <w:rPr>
          <w:rFonts w:ascii="Arial" w:hAnsi="Arial" w:cs="Arial"/>
          <w:b/>
          <w:bCs/>
          <w:color w:val="0D0D0D"/>
          <w:sz w:val="20"/>
          <w:szCs w:val="20"/>
        </w:rPr>
        <w:t>0</w:t>
      </w:r>
      <w:r w:rsidRPr="00816B74">
        <w:rPr>
          <w:rFonts w:ascii="Arial" w:hAnsi="Arial" w:cs="Arial"/>
          <w:color w:val="0D0D0D"/>
          <w:sz w:val="20"/>
          <w:szCs w:val="20"/>
        </w:rPr>
        <w:t>xxx, where the x’s represent the set-tings of the other parameters. Start the DVL pinging with the CS command. The DVL will output a ‘&lt;’ be</w:t>
      </w:r>
      <w:bookmarkStart w:id="0" w:name="_GoBack"/>
      <w:bookmarkEnd w:id="0"/>
      <w:r w:rsidRPr="00816B74">
        <w:rPr>
          <w:rFonts w:ascii="Arial" w:hAnsi="Arial" w:cs="Arial"/>
          <w:color w:val="0D0D0D"/>
          <w:sz w:val="20"/>
          <w:szCs w:val="20"/>
        </w:rPr>
        <w:t xml:space="preserve">fore each ping and wait for input. Send any valid ASCII character to trigger the ping. The instrument will not enter sleep mode while it is waiting for the trigger. This trigger method has latencies ranging from a few milliseconds to a few hundred milliseconds, which may be excessive for high-precision applications. </w:t>
      </w:r>
    </w:p>
    <w:p w:rsidR="00810300" w:rsidRDefault="00810300" w:rsidP="00810300">
      <w:pPr>
        <w:pStyle w:val="Default"/>
        <w:rPr>
          <w:rFonts w:ascii="Georgia" w:hAnsi="Georgia" w:cs="Georgia"/>
          <w:color w:val="0D0D0D"/>
          <w:sz w:val="20"/>
          <w:szCs w:val="20"/>
        </w:rPr>
      </w:pPr>
    </w:p>
    <w:p w:rsidR="00810300" w:rsidRDefault="00810300" w:rsidP="00810300">
      <w:pPr>
        <w:contextualSpacing/>
        <w:rPr>
          <w:rFonts w:ascii="Georgia" w:hAnsi="Georgia" w:cs="Georgia"/>
          <w:color w:val="0D0D0D"/>
          <w:sz w:val="20"/>
          <w:szCs w:val="20"/>
        </w:rPr>
      </w:pPr>
      <w:r>
        <w:rPr>
          <w:b/>
          <w:bCs/>
          <w:color w:val="0E56C4"/>
          <w:sz w:val="20"/>
          <w:szCs w:val="20"/>
        </w:rPr>
        <w:t>Using Low-Latency Triggering</w:t>
      </w:r>
      <w:r>
        <w:rPr>
          <w:rFonts w:ascii="Georgia" w:hAnsi="Georgia" w:cs="Georgia"/>
          <w:color w:val="0D0D0D"/>
          <w:sz w:val="20"/>
          <w:szCs w:val="20"/>
        </w:rPr>
        <w:t xml:space="preserve">. </w:t>
      </w:r>
    </w:p>
    <w:p w:rsidR="00810300" w:rsidRPr="00816B74" w:rsidRDefault="00810300" w:rsidP="00810300">
      <w:pPr>
        <w:contextualSpacing/>
        <w:rPr>
          <w:rFonts w:ascii="Arial" w:hAnsi="Arial" w:cs="Arial"/>
        </w:rPr>
      </w:pPr>
      <w:r w:rsidRPr="00816B74">
        <w:rPr>
          <w:rFonts w:ascii="Arial" w:hAnsi="Arial" w:cs="Arial"/>
          <w:color w:val="0D0D0D"/>
          <w:sz w:val="20"/>
          <w:szCs w:val="20"/>
        </w:rPr>
        <w:t xml:space="preserve">The DVL has a TRIG_IN line, which accepts Low-Latency Trigger signals. TRDI has specified the input trigger voltage as 3.3VDC to 7VDC. The polarity is defined as the electrical level at the connector referenced to COM_GND (see </w:t>
      </w:r>
      <w:r w:rsidRPr="00816B74">
        <w:rPr>
          <w:rFonts w:ascii="Arial" w:hAnsi="Arial" w:cs="Arial"/>
          <w:color w:val="0E56C4"/>
          <w:sz w:val="20"/>
          <w:szCs w:val="20"/>
        </w:rPr>
        <w:t xml:space="preserve">Cable Wiring Diagrams </w:t>
      </w:r>
      <w:r w:rsidRPr="00816B74">
        <w:rPr>
          <w:rFonts w:ascii="Arial" w:hAnsi="Arial" w:cs="Arial"/>
          <w:color w:val="0D0D0D"/>
          <w:sz w:val="20"/>
          <w:szCs w:val="20"/>
        </w:rPr>
        <w:t>for the full pinout).</w:t>
      </w:r>
    </w:p>
    <w:p w:rsidR="00810300" w:rsidRDefault="00810300">
      <w:pPr>
        <w:contextualSpacing/>
      </w:pPr>
    </w:p>
    <w:p w:rsidR="00810300" w:rsidRDefault="00810300">
      <w:pPr>
        <w:contextualSpacing/>
      </w:pPr>
      <w:r w:rsidRPr="00810300">
        <w:rPr>
          <w:noProof/>
        </w:rPr>
        <w:drawing>
          <wp:inline distT="0" distB="0" distL="0" distR="0">
            <wp:extent cx="2314575" cy="24955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14575" cy="2495550"/>
                    </a:xfrm>
                    <a:prstGeom prst="rect">
                      <a:avLst/>
                    </a:prstGeom>
                    <a:noFill/>
                    <a:ln>
                      <a:noFill/>
                    </a:ln>
                  </pic:spPr>
                </pic:pic>
              </a:graphicData>
            </a:graphic>
          </wp:inline>
        </w:drawing>
      </w:r>
    </w:p>
    <w:p w:rsidR="00810300" w:rsidRDefault="00810300">
      <w:pPr>
        <w:contextualSpacing/>
      </w:pPr>
    </w:p>
    <w:p w:rsidR="00810300" w:rsidRDefault="00810300">
      <w:pPr>
        <w:contextualSpacing/>
      </w:pPr>
      <w:r>
        <w:t>Pin #</w:t>
      </w:r>
      <w:r>
        <w:tab/>
      </w:r>
      <w:r>
        <w:tab/>
        <w:t>Signal Name</w:t>
      </w:r>
      <w:r>
        <w:tab/>
        <w:t>Wire Color</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1491"/>
        <w:gridCol w:w="1491"/>
        <w:gridCol w:w="1491"/>
      </w:tblGrid>
      <w:tr w:rsidR="00810300" w:rsidRPr="00810300">
        <w:trPr>
          <w:trHeight w:val="133"/>
        </w:trPr>
        <w:tc>
          <w:tcPr>
            <w:tcW w:w="1491" w:type="dxa"/>
          </w:tcPr>
          <w:p w:rsidR="00810300" w:rsidRPr="00810300" w:rsidRDefault="00810300" w:rsidP="00810300">
            <w:pPr>
              <w:autoSpaceDE w:val="0"/>
              <w:autoSpaceDN w:val="0"/>
              <w:adjustRightInd w:val="0"/>
              <w:spacing w:after="0" w:line="240" w:lineRule="auto"/>
              <w:rPr>
                <w:rFonts w:ascii="Calibri" w:hAnsi="Calibri" w:cs="Calibri"/>
                <w:color w:val="0D0D0D"/>
                <w:sz w:val="20"/>
                <w:szCs w:val="20"/>
              </w:rPr>
            </w:pPr>
            <w:r w:rsidRPr="00810300">
              <w:rPr>
                <w:rFonts w:ascii="Calibri" w:hAnsi="Calibri" w:cs="Calibri"/>
                <w:color w:val="0D0D0D"/>
                <w:sz w:val="20"/>
                <w:szCs w:val="20"/>
              </w:rPr>
              <w:t xml:space="preserve">8 </w:t>
            </w:r>
          </w:p>
        </w:tc>
        <w:tc>
          <w:tcPr>
            <w:tcW w:w="1491" w:type="dxa"/>
          </w:tcPr>
          <w:p w:rsidR="00810300" w:rsidRPr="00810300" w:rsidRDefault="00810300" w:rsidP="00810300">
            <w:pPr>
              <w:autoSpaceDE w:val="0"/>
              <w:autoSpaceDN w:val="0"/>
              <w:adjustRightInd w:val="0"/>
              <w:spacing w:after="0" w:line="240" w:lineRule="auto"/>
              <w:rPr>
                <w:rFonts w:ascii="Calibri" w:hAnsi="Calibri" w:cs="Calibri"/>
                <w:color w:val="0D0D0D"/>
                <w:sz w:val="20"/>
                <w:szCs w:val="20"/>
              </w:rPr>
            </w:pPr>
            <w:r w:rsidRPr="00810300">
              <w:rPr>
                <w:rFonts w:ascii="Calibri" w:hAnsi="Calibri" w:cs="Calibri"/>
                <w:color w:val="0D0D0D"/>
                <w:sz w:val="20"/>
                <w:szCs w:val="20"/>
              </w:rPr>
              <w:t xml:space="preserve">TRIG IN </w:t>
            </w:r>
          </w:p>
        </w:tc>
        <w:tc>
          <w:tcPr>
            <w:tcW w:w="1491" w:type="dxa"/>
          </w:tcPr>
          <w:p w:rsidR="00810300" w:rsidRPr="00810300" w:rsidRDefault="00810300" w:rsidP="00810300">
            <w:pPr>
              <w:autoSpaceDE w:val="0"/>
              <w:autoSpaceDN w:val="0"/>
              <w:adjustRightInd w:val="0"/>
              <w:spacing w:after="0" w:line="240" w:lineRule="auto"/>
              <w:rPr>
                <w:rFonts w:ascii="Calibri" w:hAnsi="Calibri" w:cs="Calibri"/>
                <w:color w:val="0D0D0D"/>
                <w:sz w:val="20"/>
                <w:szCs w:val="20"/>
              </w:rPr>
            </w:pPr>
            <w:r w:rsidRPr="00810300">
              <w:rPr>
                <w:rFonts w:ascii="Calibri" w:hAnsi="Calibri" w:cs="Calibri"/>
                <w:color w:val="0D0D0D"/>
                <w:sz w:val="20"/>
                <w:szCs w:val="20"/>
              </w:rPr>
              <w:t xml:space="preserve">Green </w:t>
            </w:r>
          </w:p>
        </w:tc>
      </w:tr>
      <w:tr w:rsidR="00810300" w:rsidRPr="00810300">
        <w:trPr>
          <w:trHeight w:val="133"/>
        </w:trPr>
        <w:tc>
          <w:tcPr>
            <w:tcW w:w="1491" w:type="dxa"/>
          </w:tcPr>
          <w:p w:rsidR="00810300" w:rsidRPr="00810300" w:rsidRDefault="00810300" w:rsidP="00810300">
            <w:pPr>
              <w:autoSpaceDE w:val="0"/>
              <w:autoSpaceDN w:val="0"/>
              <w:adjustRightInd w:val="0"/>
              <w:spacing w:after="0" w:line="240" w:lineRule="auto"/>
              <w:rPr>
                <w:rFonts w:ascii="Calibri" w:hAnsi="Calibri" w:cs="Calibri"/>
                <w:color w:val="0D0D0D"/>
                <w:sz w:val="20"/>
                <w:szCs w:val="20"/>
              </w:rPr>
            </w:pPr>
            <w:r w:rsidRPr="00810300">
              <w:rPr>
                <w:rFonts w:ascii="Calibri" w:hAnsi="Calibri" w:cs="Calibri"/>
                <w:color w:val="0D0D0D"/>
                <w:sz w:val="20"/>
                <w:szCs w:val="20"/>
              </w:rPr>
              <w:t xml:space="preserve">9 </w:t>
            </w:r>
          </w:p>
        </w:tc>
        <w:tc>
          <w:tcPr>
            <w:tcW w:w="1491" w:type="dxa"/>
          </w:tcPr>
          <w:p w:rsidR="00810300" w:rsidRPr="00810300" w:rsidRDefault="00810300" w:rsidP="00810300">
            <w:pPr>
              <w:autoSpaceDE w:val="0"/>
              <w:autoSpaceDN w:val="0"/>
              <w:adjustRightInd w:val="0"/>
              <w:spacing w:after="0" w:line="240" w:lineRule="auto"/>
              <w:rPr>
                <w:rFonts w:ascii="Calibri" w:hAnsi="Calibri" w:cs="Calibri"/>
                <w:color w:val="000000"/>
                <w:sz w:val="20"/>
                <w:szCs w:val="20"/>
              </w:rPr>
            </w:pPr>
            <w:r w:rsidRPr="00810300">
              <w:rPr>
                <w:rFonts w:ascii="Calibri" w:hAnsi="Calibri" w:cs="Calibri"/>
                <w:color w:val="0D0D0D"/>
                <w:sz w:val="20"/>
                <w:szCs w:val="20"/>
              </w:rPr>
              <w:t xml:space="preserve">COM_GND </w:t>
            </w:r>
          </w:p>
        </w:tc>
        <w:tc>
          <w:tcPr>
            <w:tcW w:w="1491" w:type="dxa"/>
          </w:tcPr>
          <w:p w:rsidR="00810300" w:rsidRPr="00810300" w:rsidRDefault="00810300" w:rsidP="00810300">
            <w:pPr>
              <w:autoSpaceDE w:val="0"/>
              <w:autoSpaceDN w:val="0"/>
              <w:adjustRightInd w:val="0"/>
              <w:spacing w:after="0" w:line="240" w:lineRule="auto"/>
              <w:rPr>
                <w:rFonts w:ascii="Calibri" w:hAnsi="Calibri" w:cs="Calibri"/>
                <w:color w:val="0D0D0D"/>
                <w:sz w:val="20"/>
                <w:szCs w:val="20"/>
              </w:rPr>
            </w:pPr>
            <w:r w:rsidRPr="00810300">
              <w:rPr>
                <w:rFonts w:ascii="Calibri" w:hAnsi="Calibri" w:cs="Calibri"/>
                <w:color w:val="0D0D0D"/>
                <w:sz w:val="20"/>
                <w:szCs w:val="20"/>
              </w:rPr>
              <w:t xml:space="preserve">White </w:t>
            </w:r>
          </w:p>
        </w:tc>
      </w:tr>
    </w:tbl>
    <w:p w:rsidR="00810300" w:rsidRDefault="00810300">
      <w:pPr>
        <w:contextualSpacing/>
      </w:pPr>
    </w:p>
    <w:p w:rsidR="00810300" w:rsidRDefault="00810300">
      <w:pPr>
        <w:contextualSpacing/>
      </w:pPr>
    </w:p>
    <w:p w:rsidR="00810300" w:rsidRDefault="00810300">
      <w:pPr>
        <w:contextualSpacing/>
      </w:pPr>
    </w:p>
    <w:p w:rsidR="00810300" w:rsidRDefault="00810300">
      <w:pPr>
        <w:contextualSpacing/>
      </w:pPr>
    </w:p>
    <w:p w:rsidR="00810300" w:rsidRDefault="00810300">
      <w:pPr>
        <w:contextualSpacing/>
      </w:pPr>
    </w:p>
    <w:p w:rsidR="00810300" w:rsidRDefault="00810300" w:rsidP="00810300">
      <w:pPr>
        <w:pStyle w:val="Default"/>
        <w:rPr>
          <w:rFonts w:ascii="Georgia" w:hAnsi="Georgia" w:cs="Georgia"/>
          <w:color w:val="0D0D0D"/>
          <w:sz w:val="20"/>
          <w:szCs w:val="20"/>
        </w:rPr>
      </w:pPr>
      <w:r>
        <w:rPr>
          <w:b/>
          <w:bCs/>
          <w:color w:val="0E56C4"/>
          <w:sz w:val="20"/>
          <w:szCs w:val="20"/>
        </w:rPr>
        <w:t>Trigger Pulse Length Limits</w:t>
      </w:r>
      <w:r>
        <w:rPr>
          <w:rFonts w:ascii="Georgia" w:hAnsi="Georgia" w:cs="Georgia"/>
          <w:color w:val="0D0D0D"/>
          <w:sz w:val="20"/>
          <w:szCs w:val="20"/>
        </w:rPr>
        <w:t xml:space="preserve">. </w:t>
      </w:r>
    </w:p>
    <w:p w:rsidR="00810300" w:rsidRPr="00816B74" w:rsidRDefault="00810300" w:rsidP="00810300">
      <w:pPr>
        <w:pStyle w:val="Default"/>
        <w:rPr>
          <w:rFonts w:ascii="Arial" w:hAnsi="Arial" w:cs="Arial"/>
          <w:color w:val="0D0D0D"/>
          <w:sz w:val="20"/>
          <w:szCs w:val="20"/>
        </w:rPr>
      </w:pPr>
      <w:r w:rsidRPr="00816B74">
        <w:rPr>
          <w:rFonts w:ascii="Arial" w:hAnsi="Arial" w:cs="Arial"/>
          <w:color w:val="0D0D0D"/>
          <w:sz w:val="20"/>
          <w:szCs w:val="20"/>
        </w:rPr>
        <w:t xml:space="preserve">Based on our experience, the following trigger pulse works well: </w:t>
      </w:r>
    </w:p>
    <w:p w:rsidR="00810300" w:rsidRPr="00816B74" w:rsidRDefault="00810300" w:rsidP="00810300">
      <w:pPr>
        <w:pStyle w:val="Default"/>
        <w:spacing w:after="74"/>
        <w:rPr>
          <w:rFonts w:ascii="Arial" w:hAnsi="Arial" w:cs="Arial"/>
          <w:color w:val="0D0D0D"/>
          <w:sz w:val="20"/>
          <w:szCs w:val="20"/>
        </w:rPr>
      </w:pPr>
      <w:r w:rsidRPr="00816B74">
        <w:rPr>
          <w:rFonts w:ascii="Arial" w:hAnsi="Arial" w:cs="Arial"/>
          <w:color w:val="0D0D0D"/>
          <w:sz w:val="20"/>
          <w:szCs w:val="20"/>
        </w:rPr>
        <w:t xml:space="preserve">• Trigger input voltage: 3.3 ~ 7Vdc, polarity referenced to COM_GND </w:t>
      </w:r>
    </w:p>
    <w:p w:rsidR="00810300" w:rsidRPr="00816B74" w:rsidRDefault="00810300" w:rsidP="00810300">
      <w:pPr>
        <w:pStyle w:val="Default"/>
        <w:rPr>
          <w:rFonts w:ascii="Arial" w:hAnsi="Arial" w:cs="Arial"/>
          <w:color w:val="0D0D0D"/>
          <w:sz w:val="20"/>
          <w:szCs w:val="20"/>
        </w:rPr>
      </w:pPr>
      <w:r w:rsidRPr="00816B74">
        <w:rPr>
          <w:rFonts w:ascii="Arial" w:hAnsi="Arial" w:cs="Arial"/>
          <w:color w:val="0D0D0D"/>
          <w:sz w:val="20"/>
          <w:szCs w:val="20"/>
        </w:rPr>
        <w:t>• Trigger pulse length: 500</w:t>
      </w:r>
      <w:r w:rsidRPr="00816B74">
        <w:rPr>
          <w:rFonts w:ascii="Cambria Math" w:hAnsi="Cambria Math" w:cs="Cambria Math"/>
          <w:color w:val="0D0D0D"/>
          <w:sz w:val="20"/>
          <w:szCs w:val="20"/>
        </w:rPr>
        <w:t>𝝁</w:t>
      </w:r>
      <w:r w:rsidRPr="00816B74">
        <w:rPr>
          <w:rFonts w:ascii="Arial" w:hAnsi="Arial" w:cs="Arial"/>
          <w:color w:val="0D0D0D"/>
          <w:sz w:val="20"/>
          <w:szCs w:val="20"/>
        </w:rPr>
        <w:t xml:space="preserve">sec </w:t>
      </w:r>
    </w:p>
    <w:p w:rsidR="00810300" w:rsidRPr="00816B74" w:rsidRDefault="00810300" w:rsidP="00810300">
      <w:pPr>
        <w:pStyle w:val="Default"/>
        <w:rPr>
          <w:rFonts w:ascii="Arial" w:hAnsi="Arial" w:cs="Arial"/>
          <w:color w:val="0D0D0D"/>
          <w:sz w:val="20"/>
          <w:szCs w:val="20"/>
        </w:rPr>
      </w:pPr>
    </w:p>
    <w:p w:rsidR="00810300" w:rsidRPr="00816B74" w:rsidRDefault="00810300" w:rsidP="00810300">
      <w:pPr>
        <w:pStyle w:val="Default"/>
        <w:rPr>
          <w:rFonts w:ascii="Arial" w:hAnsi="Arial" w:cs="Arial"/>
          <w:color w:val="0D0D0D"/>
          <w:sz w:val="20"/>
          <w:szCs w:val="20"/>
        </w:rPr>
      </w:pPr>
      <w:r w:rsidRPr="00816B74">
        <w:rPr>
          <w:rFonts w:ascii="Arial" w:hAnsi="Arial" w:cs="Arial"/>
          <w:color w:val="0D0D0D"/>
          <w:sz w:val="20"/>
          <w:szCs w:val="20"/>
        </w:rPr>
        <w:t xml:space="preserve">Our internal testing shows that the </w:t>
      </w:r>
      <w:r w:rsidRPr="00816B74">
        <w:rPr>
          <w:rFonts w:ascii="Arial" w:hAnsi="Arial" w:cs="Arial"/>
          <w:b/>
          <w:bCs/>
          <w:color w:val="0D0D0D"/>
          <w:sz w:val="20"/>
          <w:szCs w:val="20"/>
        </w:rPr>
        <w:t xml:space="preserve">minimum </w:t>
      </w:r>
      <w:r w:rsidRPr="00816B74">
        <w:rPr>
          <w:rFonts w:ascii="Arial" w:hAnsi="Arial" w:cs="Arial"/>
          <w:color w:val="0D0D0D"/>
          <w:sz w:val="20"/>
          <w:szCs w:val="20"/>
        </w:rPr>
        <w:t xml:space="preserve">trigger pulse length must be at least </w:t>
      </w:r>
      <w:r w:rsidRPr="00816B74">
        <w:rPr>
          <w:rFonts w:ascii="Arial" w:hAnsi="Arial" w:cs="Arial"/>
          <w:b/>
          <w:bCs/>
          <w:color w:val="0D0D0D"/>
          <w:sz w:val="20"/>
          <w:szCs w:val="20"/>
        </w:rPr>
        <w:t xml:space="preserve">105 </w:t>
      </w:r>
      <w:r w:rsidRPr="00816B74">
        <w:rPr>
          <w:rFonts w:ascii="Cambria Math" w:hAnsi="Cambria Math" w:cs="Cambria Math"/>
          <w:color w:val="0D0D0D"/>
          <w:sz w:val="20"/>
          <w:szCs w:val="20"/>
        </w:rPr>
        <w:t>𝝁𝝁𝝁𝝁</w:t>
      </w:r>
      <w:r w:rsidRPr="00816B74">
        <w:rPr>
          <w:rFonts w:ascii="Arial" w:hAnsi="Arial" w:cs="Arial"/>
          <w:color w:val="0D0D0D"/>
          <w:sz w:val="20"/>
          <w:szCs w:val="20"/>
        </w:rPr>
        <w:t xml:space="preserve"> for the trigger to function properly. A trigger pulse length </w:t>
      </w:r>
      <w:r w:rsidRPr="00816B74">
        <w:rPr>
          <w:rFonts w:ascii="Arial" w:hAnsi="Arial" w:cs="Arial"/>
          <w:b/>
          <w:bCs/>
          <w:color w:val="0D0D0D"/>
          <w:sz w:val="20"/>
          <w:szCs w:val="20"/>
        </w:rPr>
        <w:t xml:space="preserve">&lt; </w:t>
      </w:r>
      <w:r w:rsidRPr="00816B74">
        <w:rPr>
          <w:rFonts w:ascii="Arial" w:hAnsi="Arial" w:cs="Arial"/>
          <w:color w:val="0D0D0D"/>
          <w:sz w:val="20"/>
          <w:szCs w:val="20"/>
        </w:rPr>
        <w:t xml:space="preserve">105 </w:t>
      </w:r>
      <w:r w:rsidRPr="00816B74">
        <w:rPr>
          <w:rFonts w:ascii="Cambria Math" w:hAnsi="Cambria Math" w:cs="Cambria Math"/>
          <w:color w:val="0D0D0D"/>
          <w:sz w:val="20"/>
          <w:szCs w:val="20"/>
        </w:rPr>
        <w:t>𝜇𝜇𝜇𝜇</w:t>
      </w:r>
      <w:r w:rsidRPr="00816B74">
        <w:rPr>
          <w:rFonts w:ascii="Arial" w:hAnsi="Arial" w:cs="Arial"/>
          <w:color w:val="0D0D0D"/>
          <w:sz w:val="20"/>
          <w:szCs w:val="20"/>
        </w:rPr>
        <w:t xml:space="preserve"> will </w:t>
      </w:r>
      <w:r w:rsidRPr="00816B74">
        <w:rPr>
          <w:rFonts w:ascii="Arial" w:hAnsi="Arial" w:cs="Arial"/>
          <w:b/>
          <w:bCs/>
          <w:color w:val="0D0D0D"/>
          <w:sz w:val="20"/>
          <w:szCs w:val="20"/>
        </w:rPr>
        <w:t xml:space="preserve">not </w:t>
      </w:r>
      <w:r w:rsidRPr="00816B74">
        <w:rPr>
          <w:rFonts w:ascii="Arial" w:hAnsi="Arial" w:cs="Arial"/>
          <w:color w:val="0D0D0D"/>
          <w:sz w:val="20"/>
          <w:szCs w:val="20"/>
        </w:rPr>
        <w:t xml:space="preserve">be recognized by the DVL (i.e., the DVL will not ping on trigger). </w:t>
      </w:r>
    </w:p>
    <w:p w:rsidR="00810300" w:rsidRPr="00816B74" w:rsidRDefault="00810300" w:rsidP="00810300">
      <w:pPr>
        <w:pStyle w:val="Default"/>
        <w:rPr>
          <w:rFonts w:ascii="Arial" w:hAnsi="Arial" w:cs="Arial"/>
          <w:color w:val="0D0D0D"/>
          <w:sz w:val="20"/>
          <w:szCs w:val="20"/>
        </w:rPr>
      </w:pPr>
    </w:p>
    <w:p w:rsidR="00810300" w:rsidRPr="00816B74" w:rsidRDefault="00810300" w:rsidP="00810300">
      <w:pPr>
        <w:contextualSpacing/>
        <w:rPr>
          <w:rFonts w:ascii="Arial" w:hAnsi="Arial" w:cs="Arial"/>
        </w:rPr>
      </w:pPr>
      <w:r w:rsidRPr="00816B74">
        <w:rPr>
          <w:rFonts w:ascii="Arial" w:hAnsi="Arial" w:cs="Arial"/>
          <w:color w:val="0D0D0D"/>
          <w:sz w:val="20"/>
          <w:szCs w:val="20"/>
        </w:rPr>
        <w:t xml:space="preserve">The maximum trigger pulse length depends on the trigger rate. Our internal testing shows that the </w:t>
      </w:r>
      <w:r w:rsidRPr="00816B74">
        <w:rPr>
          <w:rFonts w:ascii="Arial" w:hAnsi="Arial" w:cs="Arial"/>
          <w:b/>
          <w:bCs/>
          <w:color w:val="0D0D0D"/>
          <w:sz w:val="20"/>
          <w:szCs w:val="20"/>
        </w:rPr>
        <w:t xml:space="preserve">maximum </w:t>
      </w:r>
      <w:r w:rsidRPr="00816B74">
        <w:rPr>
          <w:rFonts w:ascii="Arial" w:hAnsi="Arial" w:cs="Arial"/>
          <w:color w:val="0D0D0D"/>
          <w:sz w:val="20"/>
          <w:szCs w:val="20"/>
        </w:rPr>
        <w:t xml:space="preserve">trigger pulse length is approximately </w:t>
      </w:r>
      <w:r w:rsidRPr="00816B74">
        <w:rPr>
          <w:rFonts w:ascii="Arial" w:hAnsi="Arial" w:cs="Arial"/>
          <w:i/>
          <w:iCs/>
          <w:color w:val="0D0D0D"/>
          <w:sz w:val="20"/>
          <w:szCs w:val="20"/>
        </w:rPr>
        <w:t>99% of the trigger period</w:t>
      </w:r>
      <w:r w:rsidRPr="00816B74">
        <w:rPr>
          <w:rFonts w:ascii="Arial" w:hAnsi="Arial" w:cs="Arial"/>
          <w:color w:val="0D0D0D"/>
          <w:sz w:val="20"/>
          <w:szCs w:val="20"/>
        </w:rPr>
        <w:t xml:space="preserve">. If the trigger pulse length is </w:t>
      </w:r>
      <w:r w:rsidRPr="00816B74">
        <w:rPr>
          <w:rFonts w:ascii="Arial" w:hAnsi="Arial" w:cs="Arial"/>
          <w:b/>
          <w:bCs/>
          <w:color w:val="0D0D0D"/>
          <w:sz w:val="20"/>
          <w:szCs w:val="20"/>
        </w:rPr>
        <w:t xml:space="preserve">&gt; </w:t>
      </w:r>
      <w:r w:rsidRPr="00816B74">
        <w:rPr>
          <w:rFonts w:ascii="Arial" w:hAnsi="Arial" w:cs="Arial"/>
          <w:color w:val="0D0D0D"/>
          <w:sz w:val="20"/>
          <w:szCs w:val="20"/>
        </w:rPr>
        <w:t>99% of the trigger period, the DVL may work intermittently. The following table shows some examples of various trigger rates and their corresponding approximate maximum trigger pulse lengths.</w:t>
      </w:r>
    </w:p>
    <w:p w:rsidR="00810300" w:rsidRPr="00816B74" w:rsidRDefault="00810300">
      <w:pPr>
        <w:contextualSpacing/>
        <w:rPr>
          <w:rFonts w:ascii="Arial" w:hAnsi="Arial" w:cs="Arial"/>
        </w:rPr>
      </w:pPr>
    </w:p>
    <w:p w:rsidR="00810300" w:rsidRPr="00816B74" w:rsidRDefault="00810300">
      <w:pPr>
        <w:contextualSpacing/>
        <w:rPr>
          <w:rFonts w:ascii="Arial" w:hAnsi="Arial" w:cs="Arial"/>
        </w:rPr>
      </w:pPr>
    </w:p>
    <w:p w:rsidR="00810300" w:rsidRPr="00816B74" w:rsidRDefault="00810300">
      <w:pPr>
        <w:contextualSpacing/>
        <w:rPr>
          <w:rFonts w:ascii="Arial" w:hAnsi="Arial" w:cs="Arial"/>
        </w:rPr>
      </w:pPr>
      <w:r w:rsidRPr="00816B74">
        <w:rPr>
          <w:rFonts w:ascii="Arial" w:hAnsi="Arial" w:cs="Arial"/>
        </w:rPr>
        <w:t>Trigger Rate (Hz)</w:t>
      </w:r>
      <w:r w:rsidRPr="00816B74">
        <w:rPr>
          <w:rFonts w:ascii="Arial" w:hAnsi="Arial" w:cs="Arial"/>
        </w:rPr>
        <w:tab/>
        <w:t>Trigger Period (</w:t>
      </w:r>
      <w:proofErr w:type="spellStart"/>
      <w:r w:rsidRPr="00816B74">
        <w:rPr>
          <w:rFonts w:ascii="Arial" w:hAnsi="Arial" w:cs="Arial"/>
        </w:rPr>
        <w:t>msec</w:t>
      </w:r>
      <w:proofErr w:type="spellEnd"/>
      <w:r w:rsidRPr="00816B74">
        <w:rPr>
          <w:rFonts w:ascii="Arial" w:hAnsi="Arial" w:cs="Arial"/>
        </w:rPr>
        <w:t>)</w:t>
      </w:r>
      <w:r w:rsidRPr="00816B74">
        <w:rPr>
          <w:rFonts w:ascii="Arial" w:hAnsi="Arial" w:cs="Arial"/>
        </w:rPr>
        <w:tab/>
        <w:t>Maximum Trigger PW (</w:t>
      </w:r>
      <w:proofErr w:type="spellStart"/>
      <w:r w:rsidRPr="00816B74">
        <w:rPr>
          <w:rFonts w:ascii="Arial" w:hAnsi="Arial" w:cs="Arial"/>
        </w:rPr>
        <w:t>msec</w:t>
      </w:r>
      <w:proofErr w:type="spellEnd"/>
      <w:r w:rsidRPr="00816B74">
        <w:rPr>
          <w:rFonts w:ascii="Arial" w:hAnsi="Arial" w:cs="Arial"/>
        </w:rPr>
        <w:t>)</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108"/>
        <w:gridCol w:w="2108"/>
        <w:gridCol w:w="2108"/>
      </w:tblGrid>
      <w:tr w:rsidR="00810300" w:rsidRPr="00810300">
        <w:trPr>
          <w:trHeight w:val="133"/>
        </w:trPr>
        <w:tc>
          <w:tcPr>
            <w:tcW w:w="2108" w:type="dxa"/>
          </w:tcPr>
          <w:p w:rsidR="00810300" w:rsidRPr="00810300" w:rsidRDefault="00810300" w:rsidP="00810300">
            <w:pPr>
              <w:autoSpaceDE w:val="0"/>
              <w:autoSpaceDN w:val="0"/>
              <w:adjustRightInd w:val="0"/>
              <w:spacing w:after="0" w:line="240" w:lineRule="auto"/>
              <w:rPr>
                <w:rFonts w:ascii="Arial" w:hAnsi="Arial" w:cs="Arial"/>
                <w:color w:val="0D0D0D"/>
                <w:sz w:val="20"/>
                <w:szCs w:val="20"/>
              </w:rPr>
            </w:pPr>
            <w:r w:rsidRPr="00810300">
              <w:rPr>
                <w:rFonts w:ascii="Arial" w:hAnsi="Arial" w:cs="Arial"/>
                <w:color w:val="0D0D0D"/>
                <w:sz w:val="20"/>
                <w:szCs w:val="20"/>
              </w:rPr>
              <w:t xml:space="preserve">1 </w:t>
            </w:r>
          </w:p>
        </w:tc>
        <w:tc>
          <w:tcPr>
            <w:tcW w:w="2108" w:type="dxa"/>
          </w:tcPr>
          <w:p w:rsidR="00810300" w:rsidRPr="00810300" w:rsidRDefault="00810300" w:rsidP="00810300">
            <w:pPr>
              <w:autoSpaceDE w:val="0"/>
              <w:autoSpaceDN w:val="0"/>
              <w:adjustRightInd w:val="0"/>
              <w:spacing w:after="0" w:line="240" w:lineRule="auto"/>
              <w:rPr>
                <w:rFonts w:ascii="Arial" w:hAnsi="Arial" w:cs="Arial"/>
                <w:color w:val="0D0D0D"/>
                <w:sz w:val="20"/>
                <w:szCs w:val="20"/>
              </w:rPr>
            </w:pPr>
            <w:r w:rsidRPr="00810300">
              <w:rPr>
                <w:rFonts w:ascii="Arial" w:hAnsi="Arial" w:cs="Arial"/>
                <w:color w:val="0D0D0D"/>
                <w:sz w:val="20"/>
                <w:szCs w:val="20"/>
              </w:rPr>
              <w:t xml:space="preserve">100 </w:t>
            </w:r>
          </w:p>
        </w:tc>
        <w:tc>
          <w:tcPr>
            <w:tcW w:w="2108" w:type="dxa"/>
          </w:tcPr>
          <w:p w:rsidR="00810300" w:rsidRPr="00810300" w:rsidRDefault="00810300" w:rsidP="00810300">
            <w:pPr>
              <w:autoSpaceDE w:val="0"/>
              <w:autoSpaceDN w:val="0"/>
              <w:adjustRightInd w:val="0"/>
              <w:spacing w:after="0" w:line="240" w:lineRule="auto"/>
              <w:rPr>
                <w:rFonts w:ascii="Arial" w:hAnsi="Arial" w:cs="Arial"/>
                <w:color w:val="0D0D0D"/>
                <w:sz w:val="20"/>
                <w:szCs w:val="20"/>
              </w:rPr>
            </w:pPr>
            <w:r w:rsidRPr="00810300">
              <w:rPr>
                <w:rFonts w:ascii="Arial" w:hAnsi="Arial" w:cs="Arial"/>
                <w:color w:val="0D0D0D"/>
                <w:sz w:val="20"/>
                <w:szCs w:val="20"/>
              </w:rPr>
              <w:t xml:space="preserve">990 </w:t>
            </w:r>
          </w:p>
        </w:tc>
      </w:tr>
      <w:tr w:rsidR="00810300" w:rsidRPr="00810300">
        <w:trPr>
          <w:trHeight w:val="133"/>
        </w:trPr>
        <w:tc>
          <w:tcPr>
            <w:tcW w:w="2108" w:type="dxa"/>
          </w:tcPr>
          <w:p w:rsidR="00810300" w:rsidRPr="00810300" w:rsidRDefault="00810300" w:rsidP="00810300">
            <w:pPr>
              <w:autoSpaceDE w:val="0"/>
              <w:autoSpaceDN w:val="0"/>
              <w:adjustRightInd w:val="0"/>
              <w:spacing w:after="0" w:line="240" w:lineRule="auto"/>
              <w:rPr>
                <w:rFonts w:ascii="Arial" w:hAnsi="Arial" w:cs="Arial"/>
                <w:color w:val="0D0D0D"/>
                <w:sz w:val="20"/>
                <w:szCs w:val="20"/>
              </w:rPr>
            </w:pPr>
            <w:r w:rsidRPr="00810300">
              <w:rPr>
                <w:rFonts w:ascii="Arial" w:hAnsi="Arial" w:cs="Arial"/>
                <w:color w:val="0D0D0D"/>
                <w:sz w:val="20"/>
                <w:szCs w:val="20"/>
              </w:rPr>
              <w:t xml:space="preserve">2 </w:t>
            </w:r>
          </w:p>
        </w:tc>
        <w:tc>
          <w:tcPr>
            <w:tcW w:w="2108" w:type="dxa"/>
          </w:tcPr>
          <w:p w:rsidR="00810300" w:rsidRPr="00810300" w:rsidRDefault="00810300" w:rsidP="00810300">
            <w:pPr>
              <w:autoSpaceDE w:val="0"/>
              <w:autoSpaceDN w:val="0"/>
              <w:adjustRightInd w:val="0"/>
              <w:spacing w:after="0" w:line="240" w:lineRule="auto"/>
              <w:rPr>
                <w:rFonts w:ascii="Arial" w:hAnsi="Arial" w:cs="Arial"/>
                <w:color w:val="0D0D0D"/>
                <w:sz w:val="20"/>
                <w:szCs w:val="20"/>
              </w:rPr>
            </w:pPr>
            <w:r w:rsidRPr="00810300">
              <w:rPr>
                <w:rFonts w:ascii="Arial" w:hAnsi="Arial" w:cs="Arial"/>
                <w:color w:val="0D0D0D"/>
                <w:sz w:val="20"/>
                <w:szCs w:val="20"/>
              </w:rPr>
              <w:t xml:space="preserve">500 </w:t>
            </w:r>
          </w:p>
        </w:tc>
        <w:tc>
          <w:tcPr>
            <w:tcW w:w="2108" w:type="dxa"/>
          </w:tcPr>
          <w:p w:rsidR="00810300" w:rsidRPr="00810300" w:rsidRDefault="00810300" w:rsidP="00810300">
            <w:pPr>
              <w:autoSpaceDE w:val="0"/>
              <w:autoSpaceDN w:val="0"/>
              <w:adjustRightInd w:val="0"/>
              <w:spacing w:after="0" w:line="240" w:lineRule="auto"/>
              <w:rPr>
                <w:rFonts w:ascii="Arial" w:hAnsi="Arial" w:cs="Arial"/>
                <w:color w:val="0D0D0D"/>
                <w:sz w:val="20"/>
                <w:szCs w:val="20"/>
              </w:rPr>
            </w:pPr>
            <w:r w:rsidRPr="00810300">
              <w:rPr>
                <w:rFonts w:ascii="Arial" w:hAnsi="Arial" w:cs="Arial"/>
                <w:color w:val="0D0D0D"/>
                <w:sz w:val="20"/>
                <w:szCs w:val="20"/>
              </w:rPr>
              <w:t xml:space="preserve">495 </w:t>
            </w:r>
          </w:p>
        </w:tc>
      </w:tr>
      <w:tr w:rsidR="00810300" w:rsidRPr="00810300">
        <w:trPr>
          <w:trHeight w:val="133"/>
        </w:trPr>
        <w:tc>
          <w:tcPr>
            <w:tcW w:w="2108" w:type="dxa"/>
          </w:tcPr>
          <w:p w:rsidR="00810300" w:rsidRPr="00810300" w:rsidRDefault="00810300" w:rsidP="00810300">
            <w:pPr>
              <w:autoSpaceDE w:val="0"/>
              <w:autoSpaceDN w:val="0"/>
              <w:adjustRightInd w:val="0"/>
              <w:spacing w:after="0" w:line="240" w:lineRule="auto"/>
              <w:rPr>
                <w:rFonts w:ascii="Arial" w:hAnsi="Arial" w:cs="Arial"/>
                <w:color w:val="0D0D0D"/>
                <w:sz w:val="20"/>
                <w:szCs w:val="20"/>
              </w:rPr>
            </w:pPr>
            <w:r w:rsidRPr="00810300">
              <w:rPr>
                <w:rFonts w:ascii="Arial" w:hAnsi="Arial" w:cs="Arial"/>
                <w:color w:val="0D0D0D"/>
                <w:sz w:val="20"/>
                <w:szCs w:val="20"/>
              </w:rPr>
              <w:t xml:space="preserve">5 </w:t>
            </w:r>
          </w:p>
        </w:tc>
        <w:tc>
          <w:tcPr>
            <w:tcW w:w="2108" w:type="dxa"/>
          </w:tcPr>
          <w:p w:rsidR="00810300" w:rsidRPr="00810300" w:rsidRDefault="00810300" w:rsidP="00810300">
            <w:pPr>
              <w:autoSpaceDE w:val="0"/>
              <w:autoSpaceDN w:val="0"/>
              <w:adjustRightInd w:val="0"/>
              <w:spacing w:after="0" w:line="240" w:lineRule="auto"/>
              <w:rPr>
                <w:rFonts w:ascii="Arial" w:hAnsi="Arial" w:cs="Arial"/>
                <w:color w:val="0D0D0D"/>
                <w:sz w:val="20"/>
                <w:szCs w:val="20"/>
              </w:rPr>
            </w:pPr>
            <w:r w:rsidRPr="00810300">
              <w:rPr>
                <w:rFonts w:ascii="Arial" w:hAnsi="Arial" w:cs="Arial"/>
                <w:color w:val="0D0D0D"/>
                <w:sz w:val="20"/>
                <w:szCs w:val="20"/>
              </w:rPr>
              <w:t xml:space="preserve">200 </w:t>
            </w:r>
          </w:p>
        </w:tc>
        <w:tc>
          <w:tcPr>
            <w:tcW w:w="2108" w:type="dxa"/>
          </w:tcPr>
          <w:p w:rsidR="00810300" w:rsidRPr="00810300" w:rsidRDefault="00810300" w:rsidP="00810300">
            <w:pPr>
              <w:autoSpaceDE w:val="0"/>
              <w:autoSpaceDN w:val="0"/>
              <w:adjustRightInd w:val="0"/>
              <w:spacing w:after="0" w:line="240" w:lineRule="auto"/>
              <w:rPr>
                <w:rFonts w:ascii="Arial" w:hAnsi="Arial" w:cs="Arial"/>
                <w:color w:val="0D0D0D"/>
                <w:sz w:val="20"/>
                <w:szCs w:val="20"/>
              </w:rPr>
            </w:pPr>
            <w:r w:rsidRPr="00810300">
              <w:rPr>
                <w:rFonts w:ascii="Arial" w:hAnsi="Arial" w:cs="Arial"/>
                <w:color w:val="0D0D0D"/>
                <w:sz w:val="20"/>
                <w:szCs w:val="20"/>
              </w:rPr>
              <w:t xml:space="preserve">198 </w:t>
            </w:r>
          </w:p>
        </w:tc>
      </w:tr>
      <w:tr w:rsidR="00810300" w:rsidRPr="00810300">
        <w:trPr>
          <w:trHeight w:val="133"/>
        </w:trPr>
        <w:tc>
          <w:tcPr>
            <w:tcW w:w="2108" w:type="dxa"/>
          </w:tcPr>
          <w:p w:rsidR="00810300" w:rsidRPr="00810300" w:rsidRDefault="00810300" w:rsidP="00810300">
            <w:pPr>
              <w:autoSpaceDE w:val="0"/>
              <w:autoSpaceDN w:val="0"/>
              <w:adjustRightInd w:val="0"/>
              <w:spacing w:after="0" w:line="240" w:lineRule="auto"/>
              <w:rPr>
                <w:rFonts w:ascii="Arial" w:hAnsi="Arial" w:cs="Arial"/>
                <w:color w:val="0D0D0D"/>
                <w:sz w:val="20"/>
                <w:szCs w:val="20"/>
              </w:rPr>
            </w:pPr>
            <w:r w:rsidRPr="00810300">
              <w:rPr>
                <w:rFonts w:ascii="Arial" w:hAnsi="Arial" w:cs="Arial"/>
                <w:color w:val="0D0D0D"/>
                <w:sz w:val="20"/>
                <w:szCs w:val="20"/>
              </w:rPr>
              <w:t xml:space="preserve">10 </w:t>
            </w:r>
          </w:p>
        </w:tc>
        <w:tc>
          <w:tcPr>
            <w:tcW w:w="2108" w:type="dxa"/>
          </w:tcPr>
          <w:p w:rsidR="00810300" w:rsidRPr="00810300" w:rsidRDefault="00810300" w:rsidP="00810300">
            <w:pPr>
              <w:autoSpaceDE w:val="0"/>
              <w:autoSpaceDN w:val="0"/>
              <w:adjustRightInd w:val="0"/>
              <w:spacing w:after="0" w:line="240" w:lineRule="auto"/>
              <w:rPr>
                <w:rFonts w:ascii="Arial" w:hAnsi="Arial" w:cs="Arial"/>
                <w:color w:val="0D0D0D"/>
                <w:sz w:val="20"/>
                <w:szCs w:val="20"/>
              </w:rPr>
            </w:pPr>
            <w:r w:rsidRPr="00810300">
              <w:rPr>
                <w:rFonts w:ascii="Arial" w:hAnsi="Arial" w:cs="Arial"/>
                <w:color w:val="0D0D0D"/>
                <w:sz w:val="20"/>
                <w:szCs w:val="20"/>
              </w:rPr>
              <w:t xml:space="preserve">100 </w:t>
            </w:r>
          </w:p>
        </w:tc>
        <w:tc>
          <w:tcPr>
            <w:tcW w:w="2108" w:type="dxa"/>
          </w:tcPr>
          <w:p w:rsidR="00810300" w:rsidRPr="00810300" w:rsidRDefault="00810300" w:rsidP="00810300">
            <w:pPr>
              <w:autoSpaceDE w:val="0"/>
              <w:autoSpaceDN w:val="0"/>
              <w:adjustRightInd w:val="0"/>
              <w:spacing w:after="0" w:line="240" w:lineRule="auto"/>
              <w:rPr>
                <w:rFonts w:ascii="Arial" w:hAnsi="Arial" w:cs="Arial"/>
                <w:color w:val="0D0D0D"/>
                <w:sz w:val="20"/>
                <w:szCs w:val="20"/>
              </w:rPr>
            </w:pPr>
            <w:r w:rsidRPr="00810300">
              <w:rPr>
                <w:rFonts w:ascii="Arial" w:hAnsi="Arial" w:cs="Arial"/>
                <w:color w:val="0D0D0D"/>
                <w:sz w:val="20"/>
                <w:szCs w:val="20"/>
              </w:rPr>
              <w:t xml:space="preserve">99 </w:t>
            </w:r>
          </w:p>
        </w:tc>
      </w:tr>
    </w:tbl>
    <w:p w:rsidR="00810300" w:rsidRPr="00816B74" w:rsidRDefault="00810300">
      <w:pPr>
        <w:contextualSpacing/>
        <w:rPr>
          <w:rFonts w:ascii="Arial" w:hAnsi="Arial" w:cs="Arial"/>
        </w:rPr>
      </w:pPr>
    </w:p>
    <w:p w:rsidR="00810300" w:rsidRPr="00816B74" w:rsidRDefault="00810300">
      <w:pPr>
        <w:contextualSpacing/>
        <w:rPr>
          <w:rFonts w:ascii="Arial" w:hAnsi="Arial" w:cs="Arial"/>
        </w:rPr>
      </w:pPr>
    </w:p>
    <w:p w:rsidR="00810300" w:rsidRPr="00810300" w:rsidRDefault="00810300" w:rsidP="00810300">
      <w:pPr>
        <w:autoSpaceDE w:val="0"/>
        <w:autoSpaceDN w:val="0"/>
        <w:adjustRightInd w:val="0"/>
        <w:spacing w:after="0" w:line="240" w:lineRule="auto"/>
        <w:rPr>
          <w:rFonts w:ascii="Arial" w:hAnsi="Arial" w:cs="Arial"/>
          <w:color w:val="0D0D0D"/>
          <w:sz w:val="20"/>
          <w:szCs w:val="20"/>
        </w:rPr>
      </w:pPr>
      <w:r w:rsidRPr="00810300">
        <w:rPr>
          <w:rFonts w:ascii="Arial" w:hAnsi="Arial" w:cs="Arial"/>
          <w:color w:val="0D0D0D"/>
          <w:sz w:val="20"/>
          <w:szCs w:val="20"/>
        </w:rPr>
        <w:t xml:space="preserve">To configure the DVL for low-latency triggering, set the </w:t>
      </w:r>
      <w:r w:rsidRPr="00810300">
        <w:rPr>
          <w:rFonts w:ascii="Arial" w:hAnsi="Arial" w:cs="Arial"/>
          <w:color w:val="0E56C4"/>
          <w:sz w:val="20"/>
          <w:szCs w:val="20"/>
        </w:rPr>
        <w:t xml:space="preserve">CX command </w:t>
      </w:r>
      <w:r w:rsidRPr="00810300">
        <w:rPr>
          <w:rFonts w:ascii="Arial" w:hAnsi="Arial" w:cs="Arial"/>
          <w:color w:val="0D0D0D"/>
          <w:sz w:val="20"/>
          <w:szCs w:val="20"/>
        </w:rPr>
        <w:t xml:space="preserve">to enable trigger input. </w:t>
      </w:r>
    </w:p>
    <w:p w:rsidR="00810300" w:rsidRPr="00810300" w:rsidRDefault="00810300" w:rsidP="00810300">
      <w:pPr>
        <w:autoSpaceDE w:val="0"/>
        <w:autoSpaceDN w:val="0"/>
        <w:adjustRightInd w:val="0"/>
        <w:spacing w:after="0" w:line="240" w:lineRule="auto"/>
        <w:rPr>
          <w:rFonts w:ascii="Arial" w:hAnsi="Arial" w:cs="Arial"/>
          <w:color w:val="000000"/>
          <w:sz w:val="20"/>
          <w:szCs w:val="20"/>
        </w:rPr>
      </w:pPr>
      <w:r w:rsidRPr="00810300">
        <w:rPr>
          <w:rFonts w:ascii="Arial" w:hAnsi="Arial" w:cs="Arial"/>
          <w:color w:val="000000"/>
          <w:sz w:val="20"/>
          <w:szCs w:val="20"/>
        </w:rPr>
        <w:t xml:space="preserve">Format: CX </w:t>
      </w:r>
      <w:r w:rsidRPr="00810300">
        <w:rPr>
          <w:rFonts w:ascii="Arial" w:hAnsi="Arial" w:cs="Arial"/>
          <w:i/>
          <w:iCs/>
          <w:color w:val="000000"/>
          <w:sz w:val="20"/>
          <w:szCs w:val="20"/>
        </w:rPr>
        <w:t xml:space="preserve">n d t [p] </w:t>
      </w:r>
    </w:p>
    <w:p w:rsidR="00810300" w:rsidRPr="00810300" w:rsidRDefault="00810300" w:rsidP="00810300">
      <w:pPr>
        <w:autoSpaceDE w:val="0"/>
        <w:autoSpaceDN w:val="0"/>
        <w:adjustRightInd w:val="0"/>
        <w:spacing w:after="0" w:line="240" w:lineRule="auto"/>
        <w:rPr>
          <w:rFonts w:ascii="Arial" w:hAnsi="Arial" w:cs="Arial"/>
          <w:color w:val="000000"/>
          <w:sz w:val="20"/>
          <w:szCs w:val="20"/>
        </w:rPr>
      </w:pPr>
      <w:r w:rsidRPr="00810300">
        <w:rPr>
          <w:rFonts w:ascii="Arial" w:hAnsi="Arial" w:cs="Arial"/>
          <w:color w:val="000000"/>
          <w:sz w:val="20"/>
          <w:szCs w:val="20"/>
        </w:rPr>
        <w:t xml:space="preserve">Where: </w:t>
      </w:r>
    </w:p>
    <w:p w:rsidR="00810300" w:rsidRPr="00810300" w:rsidRDefault="00810300" w:rsidP="00810300">
      <w:pPr>
        <w:autoSpaceDE w:val="0"/>
        <w:autoSpaceDN w:val="0"/>
        <w:adjustRightInd w:val="0"/>
        <w:spacing w:after="0" w:line="240" w:lineRule="auto"/>
        <w:rPr>
          <w:rFonts w:ascii="Arial" w:hAnsi="Arial" w:cs="Arial"/>
          <w:color w:val="0D0D0D"/>
          <w:sz w:val="20"/>
          <w:szCs w:val="20"/>
        </w:rPr>
      </w:pPr>
      <w:r w:rsidRPr="00810300">
        <w:rPr>
          <w:rFonts w:ascii="Arial" w:hAnsi="Arial" w:cs="Arial"/>
          <w:i/>
          <w:iCs/>
          <w:color w:val="0D0D0D"/>
          <w:sz w:val="20"/>
          <w:szCs w:val="20"/>
        </w:rPr>
        <w:t xml:space="preserve">n </w:t>
      </w:r>
      <w:r w:rsidRPr="00810300">
        <w:rPr>
          <w:rFonts w:ascii="Arial" w:hAnsi="Arial" w:cs="Arial"/>
          <w:color w:val="0D0D0D"/>
          <w:sz w:val="20"/>
          <w:szCs w:val="20"/>
        </w:rPr>
        <w:t xml:space="preserve">= 0 to 5 (see table below). </w:t>
      </w:r>
    </w:p>
    <w:p w:rsidR="00810300" w:rsidRPr="00810300" w:rsidRDefault="00810300" w:rsidP="00810300">
      <w:pPr>
        <w:autoSpaceDE w:val="0"/>
        <w:autoSpaceDN w:val="0"/>
        <w:adjustRightInd w:val="0"/>
        <w:spacing w:after="0" w:line="240" w:lineRule="auto"/>
        <w:rPr>
          <w:rFonts w:ascii="Arial" w:hAnsi="Arial" w:cs="Arial"/>
          <w:color w:val="0D0D0D"/>
          <w:sz w:val="20"/>
          <w:szCs w:val="20"/>
        </w:rPr>
      </w:pPr>
      <w:r w:rsidRPr="00810300">
        <w:rPr>
          <w:rFonts w:ascii="Arial" w:hAnsi="Arial" w:cs="Arial"/>
          <w:i/>
          <w:iCs/>
          <w:color w:val="0D0D0D"/>
          <w:sz w:val="20"/>
          <w:szCs w:val="20"/>
        </w:rPr>
        <w:t xml:space="preserve">d </w:t>
      </w:r>
      <w:r w:rsidRPr="00810300">
        <w:rPr>
          <w:rFonts w:ascii="Arial" w:hAnsi="Arial" w:cs="Arial"/>
          <w:color w:val="0D0D0D"/>
          <w:sz w:val="20"/>
          <w:szCs w:val="20"/>
        </w:rPr>
        <w:t xml:space="preserve">= 0 to 65535 one hundredths of a second delay time. </w:t>
      </w:r>
    </w:p>
    <w:p w:rsidR="00810300" w:rsidRPr="00810300" w:rsidRDefault="00810300" w:rsidP="00810300">
      <w:pPr>
        <w:autoSpaceDE w:val="0"/>
        <w:autoSpaceDN w:val="0"/>
        <w:adjustRightInd w:val="0"/>
        <w:spacing w:after="0" w:line="240" w:lineRule="auto"/>
        <w:rPr>
          <w:rFonts w:ascii="Arial" w:hAnsi="Arial" w:cs="Arial"/>
          <w:color w:val="0D0D0D"/>
          <w:sz w:val="20"/>
          <w:szCs w:val="20"/>
        </w:rPr>
      </w:pPr>
      <w:r w:rsidRPr="00810300">
        <w:rPr>
          <w:rFonts w:ascii="Arial" w:hAnsi="Arial" w:cs="Arial"/>
          <w:i/>
          <w:iCs/>
          <w:color w:val="0D0D0D"/>
          <w:sz w:val="20"/>
          <w:szCs w:val="20"/>
        </w:rPr>
        <w:t xml:space="preserve">t </w:t>
      </w:r>
      <w:r w:rsidRPr="00810300">
        <w:rPr>
          <w:rFonts w:ascii="Arial" w:hAnsi="Arial" w:cs="Arial"/>
          <w:color w:val="0D0D0D"/>
          <w:sz w:val="20"/>
          <w:szCs w:val="20"/>
        </w:rPr>
        <w:t>= 0 to 65535 one hundredths of a second time-out time. Setting “</w:t>
      </w:r>
      <w:r w:rsidRPr="00810300">
        <w:rPr>
          <w:rFonts w:ascii="Arial" w:hAnsi="Arial" w:cs="Arial"/>
          <w:i/>
          <w:iCs/>
          <w:color w:val="0D0D0D"/>
          <w:sz w:val="20"/>
          <w:szCs w:val="20"/>
        </w:rPr>
        <w:t>t</w:t>
      </w:r>
      <w:r w:rsidRPr="00810300">
        <w:rPr>
          <w:rFonts w:ascii="Arial" w:hAnsi="Arial" w:cs="Arial"/>
          <w:color w:val="0D0D0D"/>
          <w:sz w:val="20"/>
          <w:szCs w:val="20"/>
        </w:rPr>
        <w:t xml:space="preserve">” to 65535 disables the time-out. </w:t>
      </w:r>
    </w:p>
    <w:p w:rsidR="00810300" w:rsidRPr="00816B74" w:rsidRDefault="00810300" w:rsidP="00810300">
      <w:pPr>
        <w:autoSpaceDE w:val="0"/>
        <w:autoSpaceDN w:val="0"/>
        <w:adjustRightInd w:val="0"/>
        <w:spacing w:after="0" w:line="240" w:lineRule="auto"/>
        <w:rPr>
          <w:rFonts w:ascii="Arial" w:hAnsi="Arial" w:cs="Arial"/>
          <w:color w:val="0D0D0D"/>
          <w:sz w:val="20"/>
          <w:szCs w:val="20"/>
        </w:rPr>
      </w:pPr>
      <w:r w:rsidRPr="00810300">
        <w:rPr>
          <w:rFonts w:ascii="Arial" w:hAnsi="Arial" w:cs="Arial"/>
          <w:i/>
          <w:iCs/>
          <w:color w:val="0D0D0D"/>
          <w:sz w:val="20"/>
          <w:szCs w:val="20"/>
        </w:rPr>
        <w:t xml:space="preserve">p </w:t>
      </w:r>
      <w:r w:rsidRPr="00810300">
        <w:rPr>
          <w:rFonts w:ascii="Arial" w:hAnsi="Arial" w:cs="Arial"/>
          <w:color w:val="0D0D0D"/>
          <w:sz w:val="20"/>
          <w:szCs w:val="20"/>
        </w:rPr>
        <w:t>= 0 or 1 (optional). Setting “</w:t>
      </w:r>
      <w:r w:rsidRPr="00810300">
        <w:rPr>
          <w:rFonts w:ascii="Arial" w:hAnsi="Arial" w:cs="Arial"/>
          <w:i/>
          <w:iCs/>
          <w:color w:val="0D0D0D"/>
          <w:sz w:val="20"/>
          <w:szCs w:val="20"/>
        </w:rPr>
        <w:t>p</w:t>
      </w:r>
      <w:r w:rsidRPr="00810300">
        <w:rPr>
          <w:rFonts w:ascii="Arial" w:hAnsi="Arial" w:cs="Arial"/>
          <w:color w:val="0D0D0D"/>
          <w:sz w:val="20"/>
          <w:szCs w:val="20"/>
        </w:rPr>
        <w:t xml:space="preserve">” to 1 enables ping-once mode after time-out. </w:t>
      </w:r>
    </w:p>
    <w:p w:rsidR="00810300" w:rsidRPr="00810300" w:rsidRDefault="00810300" w:rsidP="00810300">
      <w:pPr>
        <w:autoSpaceDE w:val="0"/>
        <w:autoSpaceDN w:val="0"/>
        <w:adjustRightInd w:val="0"/>
        <w:spacing w:after="0" w:line="240" w:lineRule="auto"/>
        <w:rPr>
          <w:rFonts w:ascii="Arial" w:hAnsi="Arial" w:cs="Arial"/>
          <w:color w:val="0D0D0D"/>
          <w:sz w:val="20"/>
          <w:szCs w:val="20"/>
        </w:rPr>
      </w:pPr>
    </w:p>
    <w:p w:rsidR="00810300" w:rsidRPr="00816B74" w:rsidRDefault="00810300" w:rsidP="00810300">
      <w:pPr>
        <w:contextualSpacing/>
        <w:rPr>
          <w:rFonts w:ascii="Arial" w:hAnsi="Arial" w:cs="Arial"/>
        </w:rPr>
      </w:pPr>
      <w:r w:rsidRPr="00816B74">
        <w:rPr>
          <w:rFonts w:ascii="Arial" w:hAnsi="Arial" w:cs="Arial"/>
          <w:color w:val="0D0D0D"/>
          <w:sz w:val="20"/>
          <w:szCs w:val="20"/>
        </w:rPr>
        <w:t>For example, set the CX command to CX 1 0 65535 0 to set the system behavior to ping after a low to high transition with no delay and the time-out is disabled. Start the DVL pinging with the CS command. The DVL will then wait for a trigger before each ping. Set the trigger lines to a break state for the recommended trigger pulse length to send the trigger. The DVL will then ping within 1 millisecond of the leading edge of the break pulse.</w:t>
      </w:r>
    </w:p>
    <w:p w:rsidR="00810300" w:rsidRPr="00816B74" w:rsidRDefault="00810300">
      <w:pPr>
        <w:contextualSpacing/>
        <w:rPr>
          <w:rFonts w:ascii="Arial" w:hAnsi="Arial" w:cs="Arial"/>
        </w:rPr>
      </w:pPr>
    </w:p>
    <w:p w:rsidR="00810300" w:rsidRPr="00816B74" w:rsidRDefault="00810300">
      <w:pPr>
        <w:contextualSpacing/>
        <w:rPr>
          <w:rFonts w:ascii="Arial" w:hAnsi="Arial" w:cs="Arial"/>
        </w:rPr>
      </w:pPr>
    </w:p>
    <w:p w:rsidR="00810300" w:rsidRPr="00816B74" w:rsidRDefault="00810300">
      <w:pPr>
        <w:contextualSpacing/>
        <w:rPr>
          <w:rFonts w:ascii="Arial" w:hAnsi="Arial" w:cs="Arial"/>
        </w:rPr>
      </w:pPr>
      <w:r w:rsidRPr="00816B74">
        <w:rPr>
          <w:rFonts w:ascii="Arial" w:hAnsi="Arial" w:cs="Arial"/>
        </w:rPr>
        <w:t>CX (n)</w:t>
      </w:r>
      <w:r w:rsidRPr="00816B74">
        <w:rPr>
          <w:rFonts w:ascii="Arial" w:hAnsi="Arial" w:cs="Arial"/>
        </w:rPr>
        <w:tab/>
      </w:r>
      <w:r w:rsidRPr="00816B74">
        <w:rPr>
          <w:rFonts w:ascii="Arial" w:hAnsi="Arial" w:cs="Arial"/>
        </w:rPr>
        <w:tab/>
      </w:r>
      <w:r w:rsidRPr="00816B74">
        <w:rPr>
          <w:rFonts w:ascii="Arial" w:hAnsi="Arial" w:cs="Arial"/>
        </w:rPr>
        <w:tab/>
      </w:r>
      <w:r w:rsidRPr="00816B74">
        <w:rPr>
          <w:rFonts w:ascii="Arial" w:hAnsi="Arial" w:cs="Arial"/>
        </w:rPr>
        <w:tab/>
        <w:t>System Behavior</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717"/>
        <w:gridCol w:w="5851"/>
      </w:tblGrid>
      <w:tr w:rsidR="00810300" w:rsidRPr="00810300" w:rsidTr="00810300">
        <w:trPr>
          <w:trHeight w:val="133"/>
        </w:trPr>
        <w:tc>
          <w:tcPr>
            <w:tcW w:w="2717" w:type="dxa"/>
          </w:tcPr>
          <w:p w:rsidR="00810300" w:rsidRPr="00810300" w:rsidRDefault="00810300" w:rsidP="00810300">
            <w:pPr>
              <w:autoSpaceDE w:val="0"/>
              <w:autoSpaceDN w:val="0"/>
              <w:adjustRightInd w:val="0"/>
              <w:spacing w:after="0" w:line="240" w:lineRule="auto"/>
              <w:rPr>
                <w:rFonts w:ascii="Arial" w:hAnsi="Arial" w:cs="Arial"/>
                <w:color w:val="0D0D0D"/>
                <w:sz w:val="20"/>
                <w:szCs w:val="20"/>
              </w:rPr>
            </w:pPr>
            <w:r w:rsidRPr="00810300">
              <w:rPr>
                <w:rFonts w:ascii="Arial" w:hAnsi="Arial" w:cs="Arial"/>
                <w:color w:val="0D0D0D"/>
                <w:sz w:val="20"/>
                <w:szCs w:val="20"/>
              </w:rPr>
              <w:t xml:space="preserve">0 </w:t>
            </w:r>
          </w:p>
        </w:tc>
        <w:tc>
          <w:tcPr>
            <w:tcW w:w="5851" w:type="dxa"/>
          </w:tcPr>
          <w:p w:rsidR="00810300" w:rsidRPr="00810300" w:rsidRDefault="00810300" w:rsidP="00810300">
            <w:pPr>
              <w:autoSpaceDE w:val="0"/>
              <w:autoSpaceDN w:val="0"/>
              <w:adjustRightInd w:val="0"/>
              <w:spacing w:after="0" w:line="240" w:lineRule="auto"/>
              <w:rPr>
                <w:rFonts w:ascii="Arial" w:hAnsi="Arial" w:cs="Arial"/>
                <w:color w:val="0D0D0D"/>
                <w:sz w:val="20"/>
                <w:szCs w:val="20"/>
              </w:rPr>
            </w:pPr>
            <w:r w:rsidRPr="00810300">
              <w:rPr>
                <w:rFonts w:ascii="Arial" w:hAnsi="Arial" w:cs="Arial"/>
                <w:color w:val="0D0D0D"/>
                <w:sz w:val="20"/>
                <w:szCs w:val="20"/>
              </w:rPr>
              <w:t xml:space="preserve">Trigger off </w:t>
            </w:r>
          </w:p>
        </w:tc>
      </w:tr>
      <w:tr w:rsidR="00810300" w:rsidRPr="00810300" w:rsidTr="00810300">
        <w:trPr>
          <w:trHeight w:val="133"/>
        </w:trPr>
        <w:tc>
          <w:tcPr>
            <w:tcW w:w="2717" w:type="dxa"/>
          </w:tcPr>
          <w:p w:rsidR="00810300" w:rsidRPr="00810300" w:rsidRDefault="00810300" w:rsidP="00810300">
            <w:pPr>
              <w:autoSpaceDE w:val="0"/>
              <w:autoSpaceDN w:val="0"/>
              <w:adjustRightInd w:val="0"/>
              <w:spacing w:after="0" w:line="240" w:lineRule="auto"/>
              <w:rPr>
                <w:rFonts w:ascii="Arial" w:hAnsi="Arial" w:cs="Arial"/>
                <w:color w:val="0D0D0D"/>
                <w:sz w:val="20"/>
                <w:szCs w:val="20"/>
              </w:rPr>
            </w:pPr>
            <w:r w:rsidRPr="00810300">
              <w:rPr>
                <w:rFonts w:ascii="Arial" w:hAnsi="Arial" w:cs="Arial"/>
                <w:color w:val="0D0D0D"/>
                <w:sz w:val="20"/>
                <w:szCs w:val="20"/>
              </w:rPr>
              <w:t xml:space="preserve">1 </w:t>
            </w:r>
          </w:p>
        </w:tc>
        <w:tc>
          <w:tcPr>
            <w:tcW w:w="5851" w:type="dxa"/>
          </w:tcPr>
          <w:p w:rsidR="00810300" w:rsidRPr="00810300" w:rsidRDefault="00810300" w:rsidP="00810300">
            <w:pPr>
              <w:autoSpaceDE w:val="0"/>
              <w:autoSpaceDN w:val="0"/>
              <w:adjustRightInd w:val="0"/>
              <w:spacing w:after="0" w:line="240" w:lineRule="auto"/>
              <w:rPr>
                <w:rFonts w:ascii="Arial" w:hAnsi="Arial" w:cs="Arial"/>
                <w:color w:val="0D0D0D"/>
                <w:sz w:val="20"/>
                <w:szCs w:val="20"/>
              </w:rPr>
            </w:pPr>
            <w:r w:rsidRPr="00810300">
              <w:rPr>
                <w:rFonts w:ascii="Arial" w:hAnsi="Arial" w:cs="Arial"/>
                <w:color w:val="0D0D0D"/>
                <w:sz w:val="20"/>
                <w:szCs w:val="20"/>
              </w:rPr>
              <w:t>Pings after low to high</w:t>
            </w:r>
            <w:r w:rsidRPr="00816B74">
              <w:rPr>
                <w:rFonts w:ascii="Arial" w:hAnsi="Arial" w:cs="Arial"/>
                <w:color w:val="0D0D0D"/>
                <w:sz w:val="20"/>
                <w:szCs w:val="20"/>
              </w:rPr>
              <w:t xml:space="preserve"> t</w:t>
            </w:r>
            <w:r w:rsidRPr="00810300">
              <w:rPr>
                <w:rFonts w:ascii="Arial" w:hAnsi="Arial" w:cs="Arial"/>
                <w:color w:val="0D0D0D"/>
                <w:sz w:val="20"/>
                <w:szCs w:val="20"/>
              </w:rPr>
              <w:t xml:space="preserve">ransition </w:t>
            </w:r>
          </w:p>
        </w:tc>
      </w:tr>
      <w:tr w:rsidR="00810300" w:rsidRPr="00810300" w:rsidTr="00810300">
        <w:trPr>
          <w:trHeight w:val="133"/>
        </w:trPr>
        <w:tc>
          <w:tcPr>
            <w:tcW w:w="2717" w:type="dxa"/>
          </w:tcPr>
          <w:p w:rsidR="00810300" w:rsidRPr="00810300" w:rsidRDefault="00810300" w:rsidP="00810300">
            <w:pPr>
              <w:autoSpaceDE w:val="0"/>
              <w:autoSpaceDN w:val="0"/>
              <w:adjustRightInd w:val="0"/>
              <w:spacing w:after="0" w:line="240" w:lineRule="auto"/>
              <w:rPr>
                <w:rFonts w:ascii="Arial" w:hAnsi="Arial" w:cs="Arial"/>
                <w:color w:val="0D0D0D"/>
                <w:sz w:val="20"/>
                <w:szCs w:val="20"/>
              </w:rPr>
            </w:pPr>
            <w:r w:rsidRPr="00810300">
              <w:rPr>
                <w:rFonts w:ascii="Arial" w:hAnsi="Arial" w:cs="Arial"/>
                <w:color w:val="0D0D0D"/>
                <w:sz w:val="20"/>
                <w:szCs w:val="20"/>
              </w:rPr>
              <w:t xml:space="preserve">2 </w:t>
            </w:r>
          </w:p>
        </w:tc>
        <w:tc>
          <w:tcPr>
            <w:tcW w:w="5851" w:type="dxa"/>
          </w:tcPr>
          <w:p w:rsidR="00810300" w:rsidRPr="00810300" w:rsidRDefault="00810300" w:rsidP="00810300">
            <w:pPr>
              <w:autoSpaceDE w:val="0"/>
              <w:autoSpaceDN w:val="0"/>
              <w:adjustRightInd w:val="0"/>
              <w:spacing w:after="0" w:line="240" w:lineRule="auto"/>
              <w:rPr>
                <w:rFonts w:ascii="Arial" w:hAnsi="Arial" w:cs="Arial"/>
                <w:color w:val="000000"/>
                <w:sz w:val="20"/>
                <w:szCs w:val="20"/>
              </w:rPr>
            </w:pPr>
            <w:r w:rsidRPr="00810300">
              <w:rPr>
                <w:rFonts w:ascii="Arial" w:hAnsi="Arial" w:cs="Arial"/>
                <w:color w:val="0D0D0D"/>
                <w:sz w:val="20"/>
                <w:szCs w:val="20"/>
              </w:rPr>
              <w:t xml:space="preserve">Pings after high to low transition </w:t>
            </w:r>
          </w:p>
        </w:tc>
      </w:tr>
      <w:tr w:rsidR="00810300" w:rsidRPr="00810300" w:rsidTr="00810300">
        <w:trPr>
          <w:trHeight w:val="133"/>
        </w:trPr>
        <w:tc>
          <w:tcPr>
            <w:tcW w:w="2717" w:type="dxa"/>
          </w:tcPr>
          <w:p w:rsidR="00810300" w:rsidRPr="00810300" w:rsidRDefault="00810300" w:rsidP="00810300">
            <w:pPr>
              <w:autoSpaceDE w:val="0"/>
              <w:autoSpaceDN w:val="0"/>
              <w:adjustRightInd w:val="0"/>
              <w:spacing w:after="0" w:line="240" w:lineRule="auto"/>
              <w:rPr>
                <w:rFonts w:ascii="Arial" w:hAnsi="Arial" w:cs="Arial"/>
                <w:color w:val="0D0D0D"/>
                <w:sz w:val="20"/>
                <w:szCs w:val="20"/>
              </w:rPr>
            </w:pPr>
            <w:r w:rsidRPr="00810300">
              <w:rPr>
                <w:rFonts w:ascii="Arial" w:hAnsi="Arial" w:cs="Arial"/>
                <w:color w:val="0D0D0D"/>
                <w:sz w:val="20"/>
                <w:szCs w:val="20"/>
              </w:rPr>
              <w:t xml:space="preserve">3 </w:t>
            </w:r>
          </w:p>
        </w:tc>
        <w:tc>
          <w:tcPr>
            <w:tcW w:w="5851" w:type="dxa"/>
          </w:tcPr>
          <w:p w:rsidR="00810300" w:rsidRPr="00810300" w:rsidRDefault="00810300" w:rsidP="00810300">
            <w:pPr>
              <w:autoSpaceDE w:val="0"/>
              <w:autoSpaceDN w:val="0"/>
              <w:adjustRightInd w:val="0"/>
              <w:spacing w:after="0" w:line="240" w:lineRule="auto"/>
              <w:rPr>
                <w:rFonts w:ascii="Arial" w:hAnsi="Arial" w:cs="Arial"/>
                <w:color w:val="0D0D0D"/>
                <w:sz w:val="20"/>
                <w:szCs w:val="20"/>
              </w:rPr>
            </w:pPr>
            <w:r w:rsidRPr="00810300">
              <w:rPr>
                <w:rFonts w:ascii="Arial" w:hAnsi="Arial" w:cs="Arial"/>
                <w:color w:val="0D0D0D"/>
                <w:sz w:val="20"/>
                <w:szCs w:val="20"/>
              </w:rPr>
              <w:t xml:space="preserve">Pings after either low to high or high to low transition </w:t>
            </w:r>
          </w:p>
        </w:tc>
      </w:tr>
      <w:tr w:rsidR="00810300" w:rsidRPr="00810300" w:rsidTr="00810300">
        <w:trPr>
          <w:trHeight w:val="133"/>
        </w:trPr>
        <w:tc>
          <w:tcPr>
            <w:tcW w:w="2717" w:type="dxa"/>
          </w:tcPr>
          <w:p w:rsidR="00810300" w:rsidRPr="00810300" w:rsidRDefault="00810300" w:rsidP="00810300">
            <w:pPr>
              <w:autoSpaceDE w:val="0"/>
              <w:autoSpaceDN w:val="0"/>
              <w:adjustRightInd w:val="0"/>
              <w:spacing w:after="0" w:line="240" w:lineRule="auto"/>
              <w:rPr>
                <w:rFonts w:ascii="Arial" w:hAnsi="Arial" w:cs="Arial"/>
                <w:color w:val="0D0D0D"/>
                <w:sz w:val="20"/>
                <w:szCs w:val="20"/>
              </w:rPr>
            </w:pPr>
            <w:r w:rsidRPr="00810300">
              <w:rPr>
                <w:rFonts w:ascii="Arial" w:hAnsi="Arial" w:cs="Arial"/>
                <w:color w:val="0D0D0D"/>
                <w:sz w:val="20"/>
                <w:szCs w:val="20"/>
              </w:rPr>
              <w:t xml:space="preserve">4 </w:t>
            </w:r>
          </w:p>
        </w:tc>
        <w:tc>
          <w:tcPr>
            <w:tcW w:w="5851" w:type="dxa"/>
          </w:tcPr>
          <w:p w:rsidR="00810300" w:rsidRPr="00810300" w:rsidRDefault="00810300" w:rsidP="00810300">
            <w:pPr>
              <w:autoSpaceDE w:val="0"/>
              <w:autoSpaceDN w:val="0"/>
              <w:adjustRightInd w:val="0"/>
              <w:spacing w:after="0" w:line="240" w:lineRule="auto"/>
              <w:rPr>
                <w:rFonts w:ascii="Arial" w:hAnsi="Arial" w:cs="Arial"/>
                <w:color w:val="0D0D0D"/>
                <w:sz w:val="20"/>
                <w:szCs w:val="20"/>
              </w:rPr>
            </w:pPr>
            <w:r w:rsidRPr="00810300">
              <w:rPr>
                <w:rFonts w:ascii="Arial" w:hAnsi="Arial" w:cs="Arial"/>
                <w:color w:val="0D0D0D"/>
                <w:sz w:val="20"/>
                <w:szCs w:val="20"/>
              </w:rPr>
              <w:t xml:space="preserve">Ping while trigger is low </w:t>
            </w:r>
          </w:p>
        </w:tc>
      </w:tr>
      <w:tr w:rsidR="00810300" w:rsidRPr="00810300" w:rsidTr="00810300">
        <w:trPr>
          <w:trHeight w:val="133"/>
        </w:trPr>
        <w:tc>
          <w:tcPr>
            <w:tcW w:w="2717" w:type="dxa"/>
          </w:tcPr>
          <w:p w:rsidR="00810300" w:rsidRPr="00810300" w:rsidRDefault="00810300" w:rsidP="00810300">
            <w:pPr>
              <w:autoSpaceDE w:val="0"/>
              <w:autoSpaceDN w:val="0"/>
              <w:adjustRightInd w:val="0"/>
              <w:spacing w:after="0" w:line="240" w:lineRule="auto"/>
              <w:rPr>
                <w:rFonts w:ascii="Arial" w:hAnsi="Arial" w:cs="Arial"/>
                <w:color w:val="0D0D0D"/>
                <w:sz w:val="20"/>
                <w:szCs w:val="20"/>
              </w:rPr>
            </w:pPr>
            <w:r w:rsidRPr="00810300">
              <w:rPr>
                <w:rFonts w:ascii="Arial" w:hAnsi="Arial" w:cs="Arial"/>
                <w:color w:val="0D0D0D"/>
                <w:sz w:val="20"/>
                <w:szCs w:val="20"/>
              </w:rPr>
              <w:t xml:space="preserve">5 </w:t>
            </w:r>
          </w:p>
        </w:tc>
        <w:tc>
          <w:tcPr>
            <w:tcW w:w="5851" w:type="dxa"/>
          </w:tcPr>
          <w:p w:rsidR="00810300" w:rsidRPr="00810300" w:rsidRDefault="00810300" w:rsidP="00810300">
            <w:pPr>
              <w:autoSpaceDE w:val="0"/>
              <w:autoSpaceDN w:val="0"/>
              <w:adjustRightInd w:val="0"/>
              <w:spacing w:after="0" w:line="240" w:lineRule="auto"/>
              <w:rPr>
                <w:rFonts w:ascii="Arial" w:hAnsi="Arial" w:cs="Arial"/>
                <w:color w:val="0D0D0D"/>
                <w:sz w:val="20"/>
                <w:szCs w:val="20"/>
              </w:rPr>
            </w:pPr>
            <w:r w:rsidRPr="00810300">
              <w:rPr>
                <w:rFonts w:ascii="Arial" w:hAnsi="Arial" w:cs="Arial"/>
                <w:color w:val="0D0D0D"/>
                <w:sz w:val="20"/>
                <w:szCs w:val="20"/>
              </w:rPr>
              <w:t xml:space="preserve">Pings while trigger is high </w:t>
            </w:r>
          </w:p>
        </w:tc>
      </w:tr>
    </w:tbl>
    <w:p w:rsidR="00810300" w:rsidRPr="00816B74" w:rsidRDefault="00810300">
      <w:pPr>
        <w:contextualSpacing/>
        <w:rPr>
          <w:rFonts w:ascii="Arial" w:hAnsi="Arial" w:cs="Arial"/>
        </w:rPr>
      </w:pPr>
    </w:p>
    <w:p w:rsidR="00810300" w:rsidRDefault="00810300">
      <w:pPr>
        <w:contextualSpacing/>
        <w:rPr>
          <w:rFonts w:ascii="Arial" w:hAnsi="Arial" w:cs="Arial"/>
          <w:color w:val="0D0D0D"/>
          <w:sz w:val="20"/>
          <w:szCs w:val="20"/>
        </w:rPr>
      </w:pPr>
      <w:r w:rsidRPr="00816B74">
        <w:rPr>
          <w:rFonts w:ascii="Arial" w:hAnsi="Arial" w:cs="Arial"/>
          <w:color w:val="0D0D0D"/>
          <w:sz w:val="20"/>
          <w:szCs w:val="20"/>
        </w:rPr>
        <w:t xml:space="preserve">Note that it is possible through the CX command settings to set a timeout for the DVL to wait for a Trig-ger and then if no Trigger occurs during that time, it will either Self Deploy and never look for Trigger again or Ping once and then go back to waiting for Trigger. See the </w:t>
      </w:r>
      <w:r w:rsidRPr="00816B74">
        <w:rPr>
          <w:rFonts w:ascii="Arial" w:hAnsi="Arial" w:cs="Arial"/>
          <w:color w:val="0E56C4"/>
          <w:sz w:val="20"/>
          <w:szCs w:val="20"/>
        </w:rPr>
        <w:t xml:space="preserve">CX command </w:t>
      </w:r>
      <w:r w:rsidRPr="00816B74">
        <w:rPr>
          <w:rFonts w:ascii="Arial" w:hAnsi="Arial" w:cs="Arial"/>
          <w:color w:val="0D0D0D"/>
          <w:sz w:val="20"/>
          <w:szCs w:val="20"/>
        </w:rPr>
        <w:t>for details.</w:t>
      </w:r>
    </w:p>
    <w:p w:rsidR="00816B74" w:rsidRDefault="00816B74">
      <w:pPr>
        <w:contextualSpacing/>
      </w:pPr>
    </w:p>
    <w:p w:rsidR="00816B74" w:rsidRDefault="00816B74">
      <w:pPr>
        <w:contextualSpacing/>
      </w:pPr>
    </w:p>
    <w:p w:rsidR="00810300" w:rsidRDefault="00810300">
      <w:pPr>
        <w:contextualSpacing/>
      </w:pPr>
    </w:p>
    <w:p w:rsidR="00810300" w:rsidRPr="00950690" w:rsidRDefault="00950690">
      <w:pPr>
        <w:contextualSpacing/>
        <w:rPr>
          <w:sz w:val="32"/>
          <w:szCs w:val="32"/>
        </w:rPr>
      </w:pPr>
      <w:r w:rsidRPr="00950690">
        <w:rPr>
          <w:sz w:val="32"/>
          <w:szCs w:val="32"/>
        </w:rPr>
        <w:t>Teledyne Reson T51-R</w:t>
      </w:r>
    </w:p>
    <w:p w:rsidR="00950690" w:rsidRDefault="00950690">
      <w:pPr>
        <w:contextualSpacing/>
      </w:pPr>
    </w:p>
    <w:p w:rsidR="00950690" w:rsidRPr="007F41CE" w:rsidRDefault="00950690" w:rsidP="00950690">
      <w:pPr>
        <w:pStyle w:val="AppendixHeading"/>
      </w:pPr>
      <w:bookmarkStart w:id="1" w:name="_Toc256001068"/>
      <w:bookmarkStart w:id="2" w:name="_Toc256000968"/>
      <w:bookmarkStart w:id="3" w:name="_Toc256000776"/>
      <w:bookmarkStart w:id="4" w:name="_Toc256000454"/>
      <w:bookmarkStart w:id="5" w:name="_Toc256000138"/>
      <w:bookmarkStart w:id="6" w:name="_Ref462906776"/>
      <w:bookmarkStart w:id="7" w:name="_Toc470170696"/>
      <w:bookmarkStart w:id="8" w:name="_Toc500754360"/>
      <w:bookmarkStart w:id="9" w:name="_Toc501380752"/>
      <w:bookmarkStart w:id="10" w:name="_Toc501613700"/>
      <w:bookmarkStart w:id="11" w:name="_Toc513619996"/>
      <w:bookmarkStart w:id="12" w:name="_Toc514066124"/>
      <w:bookmarkStart w:id="13" w:name="_Toc519585534"/>
      <w:r w:rsidRPr="007F41CE">
        <w:t>PPS In and Trigger In</w:t>
      </w:r>
      <w:bookmarkEnd w:id="1"/>
      <w:bookmarkEnd w:id="2"/>
      <w:bookmarkEnd w:id="3"/>
      <w:bookmarkEnd w:id="4"/>
      <w:bookmarkEnd w:id="5"/>
      <w:bookmarkEnd w:id="6"/>
      <w:bookmarkEnd w:id="7"/>
      <w:bookmarkEnd w:id="8"/>
      <w:bookmarkEnd w:id="9"/>
      <w:bookmarkEnd w:id="10"/>
      <w:bookmarkEnd w:id="11"/>
      <w:bookmarkEnd w:id="12"/>
      <w:bookmarkEnd w:id="13"/>
    </w:p>
    <w:p w:rsidR="00950690" w:rsidRPr="00721A59" w:rsidRDefault="00950690" w:rsidP="00950690">
      <w:pPr>
        <w:pStyle w:val="AppendixHeading2"/>
        <w:tabs>
          <w:tab w:val="clear" w:pos="360"/>
          <w:tab w:val="num" w:pos="0"/>
        </w:tabs>
        <w:ind w:hanging="720"/>
      </w:pPr>
      <w:bookmarkStart w:id="14" w:name="_Toc256001069"/>
      <w:bookmarkStart w:id="15" w:name="_Toc256000969"/>
      <w:bookmarkStart w:id="16" w:name="_Toc256000777"/>
      <w:bookmarkStart w:id="17" w:name="_Toc256000455"/>
      <w:bookmarkStart w:id="18" w:name="_Toc256000139"/>
      <w:bookmarkStart w:id="19" w:name="_Toc360173525"/>
      <w:bookmarkStart w:id="20" w:name="_Toc470170697"/>
      <w:bookmarkStart w:id="21" w:name="_Toc500754361"/>
      <w:bookmarkStart w:id="22" w:name="_Toc501380753"/>
      <w:bookmarkStart w:id="23" w:name="_Toc501613701"/>
      <w:bookmarkStart w:id="24" w:name="_Toc513619997"/>
      <w:bookmarkStart w:id="25" w:name="_Toc514066125"/>
      <w:bookmarkStart w:id="26" w:name="_Toc519585535"/>
      <w:r w:rsidRPr="00721A59">
        <w:t>Electrical Specifications for PPS In and Trigger In</w:t>
      </w:r>
      <w:bookmarkEnd w:id="14"/>
      <w:bookmarkEnd w:id="15"/>
      <w:bookmarkEnd w:id="16"/>
      <w:bookmarkEnd w:id="17"/>
      <w:bookmarkEnd w:id="18"/>
      <w:bookmarkEnd w:id="19"/>
      <w:bookmarkEnd w:id="20"/>
      <w:bookmarkEnd w:id="21"/>
      <w:bookmarkEnd w:id="22"/>
      <w:bookmarkEnd w:id="23"/>
      <w:bookmarkEnd w:id="24"/>
      <w:bookmarkEnd w:id="25"/>
      <w:bookmarkEnd w:id="26"/>
    </w:p>
    <w:p w:rsidR="00950690" w:rsidRPr="00721A59" w:rsidRDefault="00950690" w:rsidP="00950690">
      <w:pPr>
        <w:pStyle w:val="Caption"/>
      </w:pPr>
      <w:bookmarkStart w:id="27" w:name="_Ref360117622"/>
      <w:bookmarkStart w:id="28" w:name="_Toc256001314"/>
      <w:bookmarkStart w:id="29" w:name="_Toc256001156"/>
      <w:bookmarkStart w:id="30" w:name="_Toc256000629"/>
      <w:bookmarkStart w:id="31" w:name="_Toc256000309"/>
      <w:bookmarkStart w:id="32" w:name="_Toc360117939"/>
      <w:bookmarkStart w:id="33" w:name="_Toc470084148"/>
      <w:bookmarkStart w:id="34" w:name="_Toc500754058"/>
      <w:bookmarkStart w:id="35" w:name="_Toc501011366"/>
      <w:bookmarkStart w:id="36" w:name="_Toc501453137"/>
      <w:bookmarkStart w:id="37" w:name="_Toc501613773"/>
      <w:bookmarkStart w:id="38" w:name="_Toc513620184"/>
      <w:bookmarkStart w:id="39" w:name="_Toc514066312"/>
      <w:bookmarkStart w:id="40" w:name="_Toc519585722"/>
      <w:r w:rsidRPr="00721A59">
        <w:t xml:space="preserve">Table </w:t>
      </w:r>
      <w:r w:rsidRPr="00721A59">
        <w:fldChar w:fldCharType="begin"/>
      </w:r>
      <w:r>
        <w:instrText xml:space="preserve"> SEQ Table \* ARABIC </w:instrText>
      </w:r>
      <w:r w:rsidRPr="00721A59">
        <w:fldChar w:fldCharType="separate"/>
      </w:r>
      <w:r>
        <w:t>20</w:t>
      </w:r>
      <w:r w:rsidRPr="00721A59">
        <w:fldChar w:fldCharType="end"/>
      </w:r>
      <w:bookmarkEnd w:id="27"/>
      <w:r w:rsidRPr="00721A59">
        <w:t xml:space="preserve">: PPS In and Trigger </w:t>
      </w:r>
      <w:proofErr w:type="gramStart"/>
      <w:r w:rsidRPr="00721A59">
        <w:t>In</w:t>
      </w:r>
      <w:proofErr w:type="gramEnd"/>
      <w:r w:rsidRPr="00721A59">
        <w:t xml:space="preserve"> Signals</w:t>
      </w:r>
      <w:bookmarkEnd w:id="28"/>
      <w:bookmarkEnd w:id="29"/>
      <w:bookmarkEnd w:id="30"/>
      <w:bookmarkEnd w:id="31"/>
      <w:r>
        <w:rPr>
          <w:rStyle w:val="FootnoteReference"/>
        </w:rPr>
        <w:footnoteReference w:id="1"/>
      </w:r>
      <w:bookmarkEnd w:id="32"/>
      <w:bookmarkEnd w:id="33"/>
      <w:bookmarkEnd w:id="34"/>
      <w:bookmarkEnd w:id="35"/>
      <w:bookmarkEnd w:id="36"/>
      <w:bookmarkEnd w:id="37"/>
      <w:bookmarkEnd w:id="38"/>
      <w:bookmarkEnd w:id="39"/>
      <w:bookmarkEnd w:id="40"/>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529"/>
        <w:gridCol w:w="862"/>
        <w:gridCol w:w="975"/>
        <w:gridCol w:w="782"/>
        <w:gridCol w:w="851"/>
        <w:gridCol w:w="2592"/>
      </w:tblGrid>
      <w:tr w:rsidR="00950690" w:rsidTr="0010445B">
        <w:trPr>
          <w:jc w:val="center"/>
        </w:trPr>
        <w:tc>
          <w:tcPr>
            <w:tcW w:w="2529" w:type="dxa"/>
            <w:tcBorders>
              <w:right w:val="single" w:sz="2" w:space="0" w:color="595959" w:themeColor="text1" w:themeTint="A6"/>
            </w:tcBorders>
            <w:shd w:val="clear" w:color="auto" w:fill="000000" w:themeFill="text1"/>
          </w:tcPr>
          <w:p w:rsidR="00950690" w:rsidRPr="00721A59" w:rsidRDefault="00950690" w:rsidP="0010445B">
            <w:pPr>
              <w:pStyle w:val="Table"/>
              <w:rPr>
                <w:b/>
              </w:rPr>
            </w:pPr>
            <w:r w:rsidRPr="00721A59">
              <w:rPr>
                <w:b/>
              </w:rPr>
              <w:t>Parameter</w:t>
            </w:r>
          </w:p>
        </w:tc>
        <w:tc>
          <w:tcPr>
            <w:tcW w:w="862" w:type="dxa"/>
            <w:tcBorders>
              <w:left w:val="single" w:sz="2" w:space="0" w:color="595959" w:themeColor="text1" w:themeTint="A6"/>
              <w:right w:val="single" w:sz="2" w:space="0" w:color="595959" w:themeColor="text1" w:themeTint="A6"/>
            </w:tcBorders>
            <w:shd w:val="clear" w:color="auto" w:fill="000000" w:themeFill="text1"/>
          </w:tcPr>
          <w:p w:rsidR="00950690" w:rsidRPr="00721A59" w:rsidRDefault="00950690" w:rsidP="0010445B">
            <w:pPr>
              <w:pStyle w:val="Table"/>
              <w:jc w:val="center"/>
              <w:rPr>
                <w:b/>
              </w:rPr>
            </w:pPr>
            <w:r w:rsidRPr="00721A59">
              <w:rPr>
                <w:b/>
              </w:rPr>
              <w:t>Min.</w:t>
            </w:r>
          </w:p>
        </w:tc>
        <w:tc>
          <w:tcPr>
            <w:tcW w:w="975" w:type="dxa"/>
            <w:tcBorders>
              <w:left w:val="single" w:sz="2" w:space="0" w:color="595959" w:themeColor="text1" w:themeTint="A6"/>
              <w:right w:val="single" w:sz="2" w:space="0" w:color="595959" w:themeColor="text1" w:themeTint="A6"/>
            </w:tcBorders>
            <w:shd w:val="clear" w:color="auto" w:fill="000000" w:themeFill="text1"/>
          </w:tcPr>
          <w:p w:rsidR="00950690" w:rsidRPr="00721A59" w:rsidRDefault="00950690" w:rsidP="0010445B">
            <w:pPr>
              <w:pStyle w:val="Table"/>
              <w:jc w:val="center"/>
              <w:rPr>
                <w:b/>
              </w:rPr>
            </w:pPr>
            <w:r w:rsidRPr="00721A59">
              <w:rPr>
                <w:b/>
              </w:rPr>
              <w:t>Typical</w:t>
            </w:r>
          </w:p>
        </w:tc>
        <w:tc>
          <w:tcPr>
            <w:tcW w:w="782" w:type="dxa"/>
            <w:tcBorders>
              <w:left w:val="single" w:sz="2" w:space="0" w:color="595959" w:themeColor="text1" w:themeTint="A6"/>
              <w:right w:val="single" w:sz="2" w:space="0" w:color="595959" w:themeColor="text1" w:themeTint="A6"/>
            </w:tcBorders>
            <w:shd w:val="clear" w:color="auto" w:fill="000000" w:themeFill="text1"/>
          </w:tcPr>
          <w:p w:rsidR="00950690" w:rsidRPr="00721A59" w:rsidRDefault="00950690" w:rsidP="0010445B">
            <w:pPr>
              <w:pStyle w:val="Table"/>
              <w:jc w:val="center"/>
              <w:rPr>
                <w:b/>
              </w:rPr>
            </w:pPr>
            <w:r w:rsidRPr="00721A59">
              <w:rPr>
                <w:b/>
              </w:rPr>
              <w:t>Max.</w:t>
            </w:r>
          </w:p>
        </w:tc>
        <w:tc>
          <w:tcPr>
            <w:tcW w:w="851" w:type="dxa"/>
            <w:tcBorders>
              <w:left w:val="single" w:sz="2" w:space="0" w:color="595959" w:themeColor="text1" w:themeTint="A6"/>
              <w:right w:val="single" w:sz="2" w:space="0" w:color="595959" w:themeColor="text1" w:themeTint="A6"/>
            </w:tcBorders>
            <w:shd w:val="clear" w:color="auto" w:fill="000000" w:themeFill="text1"/>
          </w:tcPr>
          <w:p w:rsidR="00950690" w:rsidRPr="00721A59" w:rsidRDefault="00950690" w:rsidP="0010445B">
            <w:pPr>
              <w:pStyle w:val="Table"/>
              <w:jc w:val="center"/>
              <w:rPr>
                <w:b/>
              </w:rPr>
            </w:pPr>
            <w:r w:rsidRPr="00721A59">
              <w:rPr>
                <w:b/>
              </w:rPr>
              <w:t>Unit</w:t>
            </w:r>
          </w:p>
        </w:tc>
        <w:tc>
          <w:tcPr>
            <w:tcW w:w="2592" w:type="dxa"/>
            <w:tcBorders>
              <w:left w:val="single" w:sz="2" w:space="0" w:color="595959" w:themeColor="text1" w:themeTint="A6"/>
            </w:tcBorders>
            <w:shd w:val="clear" w:color="auto" w:fill="000000" w:themeFill="text1"/>
          </w:tcPr>
          <w:p w:rsidR="00950690" w:rsidRPr="00721A59" w:rsidRDefault="00950690" w:rsidP="0010445B">
            <w:pPr>
              <w:pStyle w:val="Table"/>
              <w:jc w:val="center"/>
              <w:rPr>
                <w:b/>
              </w:rPr>
            </w:pPr>
            <w:r w:rsidRPr="00721A59">
              <w:rPr>
                <w:b/>
              </w:rPr>
              <w:t>Note</w:t>
            </w:r>
          </w:p>
        </w:tc>
      </w:tr>
      <w:tr w:rsidR="00950690" w:rsidTr="0010445B">
        <w:trPr>
          <w:jc w:val="center"/>
        </w:trPr>
        <w:tc>
          <w:tcPr>
            <w:tcW w:w="2529" w:type="dxa"/>
          </w:tcPr>
          <w:p w:rsidR="00950690" w:rsidRPr="00721A59" w:rsidRDefault="00950690" w:rsidP="0010445B">
            <w:pPr>
              <w:pStyle w:val="Table"/>
            </w:pPr>
            <w:r w:rsidRPr="00721A59">
              <w:t>Absolute maximum</w:t>
            </w:r>
            <w:r>
              <w:rPr>
                <w:vertAlign w:val="superscript"/>
              </w:rPr>
              <w:footnoteReference w:id="2"/>
            </w:r>
            <w:r w:rsidRPr="00721A59">
              <w:t xml:space="preserve"> signal voltage</w:t>
            </w:r>
          </w:p>
        </w:tc>
        <w:tc>
          <w:tcPr>
            <w:tcW w:w="862" w:type="dxa"/>
          </w:tcPr>
          <w:p w:rsidR="00950690" w:rsidRPr="00721A59" w:rsidRDefault="00950690" w:rsidP="0010445B">
            <w:pPr>
              <w:pStyle w:val="Table"/>
              <w:jc w:val="center"/>
            </w:pPr>
            <w:r w:rsidRPr="00721A59">
              <w:t>15</w:t>
            </w:r>
          </w:p>
        </w:tc>
        <w:tc>
          <w:tcPr>
            <w:tcW w:w="975" w:type="dxa"/>
          </w:tcPr>
          <w:p w:rsidR="00950690" w:rsidRPr="00721A59" w:rsidRDefault="00950690" w:rsidP="0010445B">
            <w:pPr>
              <w:pStyle w:val="Table"/>
              <w:jc w:val="center"/>
            </w:pPr>
          </w:p>
        </w:tc>
        <w:tc>
          <w:tcPr>
            <w:tcW w:w="782" w:type="dxa"/>
          </w:tcPr>
          <w:p w:rsidR="00950690" w:rsidRPr="00721A59" w:rsidRDefault="00950690" w:rsidP="0010445B">
            <w:pPr>
              <w:pStyle w:val="Table"/>
              <w:jc w:val="center"/>
            </w:pPr>
          </w:p>
        </w:tc>
        <w:tc>
          <w:tcPr>
            <w:tcW w:w="851" w:type="dxa"/>
          </w:tcPr>
          <w:p w:rsidR="00950690" w:rsidRPr="00721A59" w:rsidRDefault="00950690" w:rsidP="0010445B">
            <w:pPr>
              <w:pStyle w:val="Table"/>
              <w:jc w:val="center"/>
            </w:pPr>
            <w:r w:rsidRPr="00721A59">
              <w:t>V</w:t>
            </w:r>
          </w:p>
        </w:tc>
        <w:tc>
          <w:tcPr>
            <w:tcW w:w="2592" w:type="dxa"/>
          </w:tcPr>
          <w:p w:rsidR="00950690" w:rsidRPr="00721A59" w:rsidRDefault="00950690" w:rsidP="0010445B">
            <w:pPr>
              <w:pStyle w:val="Table"/>
              <w:jc w:val="center"/>
            </w:pPr>
          </w:p>
        </w:tc>
      </w:tr>
      <w:tr w:rsidR="00950690" w:rsidTr="0010445B">
        <w:trPr>
          <w:jc w:val="center"/>
        </w:trPr>
        <w:tc>
          <w:tcPr>
            <w:tcW w:w="2529" w:type="dxa"/>
          </w:tcPr>
          <w:p w:rsidR="00950690" w:rsidRPr="00721A59" w:rsidRDefault="00950690" w:rsidP="0010445B">
            <w:pPr>
              <w:pStyle w:val="Table"/>
            </w:pPr>
            <w:r w:rsidRPr="00721A59">
              <w:t>Absolute maximum reverse signal voltage</w:t>
            </w:r>
          </w:p>
        </w:tc>
        <w:tc>
          <w:tcPr>
            <w:tcW w:w="862" w:type="dxa"/>
          </w:tcPr>
          <w:p w:rsidR="00950690" w:rsidRPr="00721A59" w:rsidRDefault="00950690" w:rsidP="0010445B">
            <w:pPr>
              <w:pStyle w:val="Table"/>
              <w:jc w:val="center"/>
            </w:pPr>
          </w:p>
        </w:tc>
        <w:tc>
          <w:tcPr>
            <w:tcW w:w="975" w:type="dxa"/>
          </w:tcPr>
          <w:p w:rsidR="00950690" w:rsidRPr="00721A59" w:rsidRDefault="00950690" w:rsidP="0010445B">
            <w:pPr>
              <w:pStyle w:val="Table"/>
              <w:jc w:val="center"/>
            </w:pPr>
          </w:p>
        </w:tc>
        <w:tc>
          <w:tcPr>
            <w:tcW w:w="782" w:type="dxa"/>
          </w:tcPr>
          <w:p w:rsidR="00950690" w:rsidRPr="00721A59" w:rsidRDefault="00950690" w:rsidP="0010445B">
            <w:pPr>
              <w:pStyle w:val="Table"/>
              <w:jc w:val="center"/>
            </w:pPr>
            <w:r w:rsidRPr="00721A59">
              <w:t>-1</w:t>
            </w:r>
          </w:p>
        </w:tc>
        <w:tc>
          <w:tcPr>
            <w:tcW w:w="851" w:type="dxa"/>
          </w:tcPr>
          <w:p w:rsidR="00950690" w:rsidRPr="00721A59" w:rsidRDefault="00950690" w:rsidP="0010445B">
            <w:pPr>
              <w:pStyle w:val="Table"/>
              <w:jc w:val="center"/>
            </w:pPr>
            <w:r w:rsidRPr="00721A59">
              <w:t>V</w:t>
            </w:r>
          </w:p>
        </w:tc>
        <w:tc>
          <w:tcPr>
            <w:tcW w:w="2592" w:type="dxa"/>
          </w:tcPr>
          <w:p w:rsidR="00950690" w:rsidRPr="00721A59" w:rsidRDefault="00950690" w:rsidP="0010445B">
            <w:pPr>
              <w:pStyle w:val="Table"/>
              <w:jc w:val="center"/>
            </w:pPr>
          </w:p>
        </w:tc>
      </w:tr>
      <w:tr w:rsidR="00950690" w:rsidTr="0010445B">
        <w:trPr>
          <w:jc w:val="center"/>
        </w:trPr>
        <w:tc>
          <w:tcPr>
            <w:tcW w:w="2529" w:type="dxa"/>
          </w:tcPr>
          <w:p w:rsidR="00950690" w:rsidRPr="00721A59" w:rsidRDefault="00950690" w:rsidP="0010445B">
            <w:pPr>
              <w:pStyle w:val="Table"/>
            </w:pPr>
            <w:r w:rsidRPr="00721A59">
              <w:t>Low voltage threshold</w:t>
            </w:r>
          </w:p>
        </w:tc>
        <w:tc>
          <w:tcPr>
            <w:tcW w:w="862" w:type="dxa"/>
          </w:tcPr>
          <w:p w:rsidR="00950690" w:rsidRPr="00721A59" w:rsidRDefault="00950690" w:rsidP="0010445B">
            <w:pPr>
              <w:pStyle w:val="Table"/>
              <w:jc w:val="center"/>
            </w:pPr>
            <w:r w:rsidRPr="00721A59">
              <w:t>1</w:t>
            </w:r>
          </w:p>
        </w:tc>
        <w:tc>
          <w:tcPr>
            <w:tcW w:w="975" w:type="dxa"/>
          </w:tcPr>
          <w:p w:rsidR="00950690" w:rsidRPr="00721A59" w:rsidRDefault="00950690" w:rsidP="0010445B">
            <w:pPr>
              <w:pStyle w:val="Table"/>
              <w:jc w:val="center"/>
            </w:pPr>
            <w:r w:rsidRPr="00721A59">
              <w:t>1.6</w:t>
            </w:r>
          </w:p>
        </w:tc>
        <w:tc>
          <w:tcPr>
            <w:tcW w:w="782" w:type="dxa"/>
          </w:tcPr>
          <w:p w:rsidR="00950690" w:rsidRPr="00721A59" w:rsidRDefault="00950690" w:rsidP="0010445B">
            <w:pPr>
              <w:pStyle w:val="Table"/>
              <w:jc w:val="center"/>
            </w:pPr>
          </w:p>
        </w:tc>
        <w:tc>
          <w:tcPr>
            <w:tcW w:w="851" w:type="dxa"/>
          </w:tcPr>
          <w:p w:rsidR="00950690" w:rsidRPr="00721A59" w:rsidRDefault="00950690" w:rsidP="0010445B">
            <w:pPr>
              <w:pStyle w:val="Table"/>
              <w:jc w:val="center"/>
            </w:pPr>
            <w:r w:rsidRPr="00721A59">
              <w:t>V</w:t>
            </w:r>
          </w:p>
        </w:tc>
        <w:tc>
          <w:tcPr>
            <w:tcW w:w="2592" w:type="dxa"/>
          </w:tcPr>
          <w:p w:rsidR="00950690" w:rsidRPr="00721A59" w:rsidRDefault="00950690" w:rsidP="0010445B">
            <w:pPr>
              <w:pStyle w:val="Table"/>
              <w:jc w:val="center"/>
            </w:pPr>
          </w:p>
        </w:tc>
      </w:tr>
      <w:tr w:rsidR="00950690" w:rsidTr="0010445B">
        <w:trPr>
          <w:jc w:val="center"/>
        </w:trPr>
        <w:tc>
          <w:tcPr>
            <w:tcW w:w="2529" w:type="dxa"/>
          </w:tcPr>
          <w:p w:rsidR="00950690" w:rsidRPr="00721A59" w:rsidRDefault="00950690" w:rsidP="0010445B">
            <w:pPr>
              <w:pStyle w:val="Table"/>
            </w:pPr>
            <w:r w:rsidRPr="00721A59">
              <w:t>High voltage threshold</w:t>
            </w:r>
          </w:p>
        </w:tc>
        <w:tc>
          <w:tcPr>
            <w:tcW w:w="862" w:type="dxa"/>
          </w:tcPr>
          <w:p w:rsidR="00950690" w:rsidRPr="00721A59" w:rsidRDefault="00950690" w:rsidP="0010445B">
            <w:pPr>
              <w:pStyle w:val="Table"/>
              <w:jc w:val="center"/>
            </w:pPr>
          </w:p>
        </w:tc>
        <w:tc>
          <w:tcPr>
            <w:tcW w:w="975" w:type="dxa"/>
          </w:tcPr>
          <w:p w:rsidR="00950690" w:rsidRPr="00721A59" w:rsidRDefault="00950690" w:rsidP="0010445B">
            <w:pPr>
              <w:pStyle w:val="Table"/>
              <w:jc w:val="center"/>
            </w:pPr>
            <w:r w:rsidRPr="00721A59">
              <w:t>1.6</w:t>
            </w:r>
          </w:p>
        </w:tc>
        <w:tc>
          <w:tcPr>
            <w:tcW w:w="782" w:type="dxa"/>
          </w:tcPr>
          <w:p w:rsidR="00950690" w:rsidRPr="00721A59" w:rsidRDefault="00950690" w:rsidP="0010445B">
            <w:pPr>
              <w:pStyle w:val="Table"/>
              <w:jc w:val="center"/>
            </w:pPr>
            <w:r w:rsidRPr="00721A59">
              <w:t>1.8</w:t>
            </w:r>
          </w:p>
        </w:tc>
        <w:tc>
          <w:tcPr>
            <w:tcW w:w="851" w:type="dxa"/>
          </w:tcPr>
          <w:p w:rsidR="00950690" w:rsidRPr="00721A59" w:rsidRDefault="00950690" w:rsidP="0010445B">
            <w:pPr>
              <w:pStyle w:val="Table"/>
              <w:jc w:val="center"/>
            </w:pPr>
            <w:r w:rsidRPr="00721A59">
              <w:t>V</w:t>
            </w:r>
          </w:p>
        </w:tc>
        <w:tc>
          <w:tcPr>
            <w:tcW w:w="2592" w:type="dxa"/>
          </w:tcPr>
          <w:p w:rsidR="00950690" w:rsidRPr="00721A59" w:rsidRDefault="00950690" w:rsidP="0010445B">
            <w:pPr>
              <w:pStyle w:val="Table"/>
              <w:jc w:val="center"/>
            </w:pPr>
          </w:p>
        </w:tc>
      </w:tr>
      <w:tr w:rsidR="00950690" w:rsidTr="0010445B">
        <w:trPr>
          <w:jc w:val="center"/>
        </w:trPr>
        <w:tc>
          <w:tcPr>
            <w:tcW w:w="2529" w:type="dxa"/>
          </w:tcPr>
          <w:p w:rsidR="00950690" w:rsidRPr="00721A59" w:rsidRDefault="00950690" w:rsidP="0010445B">
            <w:pPr>
              <w:pStyle w:val="Table"/>
            </w:pPr>
            <w:r w:rsidRPr="00721A59">
              <w:t>Input current (high)</w:t>
            </w:r>
          </w:p>
          <w:p w:rsidR="00950690" w:rsidRPr="00721A59" w:rsidRDefault="00950690" w:rsidP="0010445B">
            <w:pPr>
              <w:pStyle w:val="Table"/>
            </w:pPr>
            <w:r w:rsidRPr="00721A59">
              <w:t>@2V</w:t>
            </w:r>
          </w:p>
          <w:p w:rsidR="00950690" w:rsidRPr="00721A59" w:rsidRDefault="00950690" w:rsidP="0010445B">
            <w:pPr>
              <w:pStyle w:val="Table"/>
            </w:pPr>
            <w:r w:rsidRPr="00721A59">
              <w:t>@3V</w:t>
            </w:r>
          </w:p>
          <w:p w:rsidR="00950690" w:rsidRPr="00721A59" w:rsidRDefault="00950690" w:rsidP="0010445B">
            <w:pPr>
              <w:pStyle w:val="Table"/>
            </w:pPr>
            <w:r w:rsidRPr="00721A59">
              <w:t>@5V</w:t>
            </w:r>
          </w:p>
          <w:p w:rsidR="00950690" w:rsidRPr="00721A59" w:rsidRDefault="00950690" w:rsidP="0010445B">
            <w:pPr>
              <w:pStyle w:val="Table"/>
            </w:pPr>
            <w:r w:rsidRPr="00721A59">
              <w:t>@15V</w:t>
            </w:r>
          </w:p>
        </w:tc>
        <w:tc>
          <w:tcPr>
            <w:tcW w:w="862" w:type="dxa"/>
          </w:tcPr>
          <w:p w:rsidR="00950690" w:rsidRPr="00721A59" w:rsidRDefault="00950690" w:rsidP="0010445B">
            <w:pPr>
              <w:pStyle w:val="Table"/>
              <w:jc w:val="center"/>
            </w:pPr>
          </w:p>
        </w:tc>
        <w:tc>
          <w:tcPr>
            <w:tcW w:w="975" w:type="dxa"/>
          </w:tcPr>
          <w:p w:rsidR="00950690" w:rsidRPr="00721A59" w:rsidRDefault="00950690" w:rsidP="0010445B">
            <w:pPr>
              <w:pStyle w:val="Table"/>
              <w:jc w:val="center"/>
            </w:pPr>
          </w:p>
          <w:p w:rsidR="00950690" w:rsidRPr="00721A59" w:rsidRDefault="00950690" w:rsidP="0010445B">
            <w:pPr>
              <w:pStyle w:val="Table"/>
              <w:jc w:val="center"/>
            </w:pPr>
            <w:r w:rsidRPr="00721A59">
              <w:t>7</w:t>
            </w:r>
          </w:p>
          <w:p w:rsidR="00950690" w:rsidRPr="00721A59" w:rsidRDefault="00950690" w:rsidP="0010445B">
            <w:pPr>
              <w:pStyle w:val="Table"/>
              <w:jc w:val="center"/>
            </w:pPr>
            <w:r w:rsidRPr="00721A59">
              <w:t>8</w:t>
            </w:r>
          </w:p>
          <w:p w:rsidR="00950690" w:rsidRPr="00721A59" w:rsidRDefault="00950690" w:rsidP="0010445B">
            <w:pPr>
              <w:pStyle w:val="Table"/>
              <w:jc w:val="center"/>
            </w:pPr>
            <w:r w:rsidRPr="00721A59">
              <w:t>10</w:t>
            </w:r>
          </w:p>
          <w:p w:rsidR="00950690" w:rsidRPr="00721A59" w:rsidRDefault="00950690" w:rsidP="0010445B">
            <w:pPr>
              <w:pStyle w:val="Table"/>
              <w:jc w:val="center"/>
            </w:pPr>
            <w:r w:rsidRPr="00721A59">
              <w:t>20</w:t>
            </w:r>
          </w:p>
        </w:tc>
        <w:tc>
          <w:tcPr>
            <w:tcW w:w="782" w:type="dxa"/>
          </w:tcPr>
          <w:p w:rsidR="00950690" w:rsidRPr="00721A59" w:rsidRDefault="00950690" w:rsidP="0010445B">
            <w:pPr>
              <w:pStyle w:val="Table"/>
              <w:jc w:val="center"/>
            </w:pPr>
          </w:p>
        </w:tc>
        <w:tc>
          <w:tcPr>
            <w:tcW w:w="851" w:type="dxa"/>
          </w:tcPr>
          <w:p w:rsidR="00950690" w:rsidRPr="00721A59" w:rsidRDefault="00950690" w:rsidP="0010445B">
            <w:pPr>
              <w:pStyle w:val="Table"/>
              <w:jc w:val="center"/>
            </w:pPr>
          </w:p>
          <w:p w:rsidR="00950690" w:rsidRPr="00721A59" w:rsidRDefault="00950690" w:rsidP="0010445B">
            <w:pPr>
              <w:pStyle w:val="Table"/>
              <w:jc w:val="center"/>
            </w:pPr>
            <w:r w:rsidRPr="00721A59">
              <w:t>mA</w:t>
            </w:r>
          </w:p>
          <w:p w:rsidR="00950690" w:rsidRPr="00721A59" w:rsidRDefault="00950690" w:rsidP="0010445B">
            <w:pPr>
              <w:pStyle w:val="Table"/>
              <w:jc w:val="center"/>
            </w:pPr>
            <w:r w:rsidRPr="00721A59">
              <w:t>mA</w:t>
            </w:r>
          </w:p>
          <w:p w:rsidR="00950690" w:rsidRPr="00721A59" w:rsidRDefault="00950690" w:rsidP="0010445B">
            <w:pPr>
              <w:pStyle w:val="Table"/>
              <w:jc w:val="center"/>
            </w:pPr>
            <w:r w:rsidRPr="00721A59">
              <w:t>mA</w:t>
            </w:r>
          </w:p>
          <w:p w:rsidR="00950690" w:rsidRPr="00721A59" w:rsidRDefault="00950690" w:rsidP="0010445B">
            <w:pPr>
              <w:pStyle w:val="Table"/>
              <w:jc w:val="center"/>
            </w:pPr>
            <w:r w:rsidRPr="00721A59">
              <w:t>mA</w:t>
            </w:r>
          </w:p>
        </w:tc>
        <w:tc>
          <w:tcPr>
            <w:tcW w:w="2592" w:type="dxa"/>
          </w:tcPr>
          <w:p w:rsidR="00950690" w:rsidRPr="00721A59" w:rsidRDefault="00950690" w:rsidP="0010445B">
            <w:pPr>
              <w:pStyle w:val="Table"/>
              <w:jc w:val="center"/>
            </w:pPr>
          </w:p>
        </w:tc>
      </w:tr>
      <w:tr w:rsidR="00950690" w:rsidTr="0010445B">
        <w:trPr>
          <w:jc w:val="center"/>
        </w:trPr>
        <w:tc>
          <w:tcPr>
            <w:tcW w:w="2529" w:type="dxa"/>
          </w:tcPr>
          <w:p w:rsidR="00950690" w:rsidRPr="00721A59" w:rsidRDefault="00950690" w:rsidP="0010445B">
            <w:pPr>
              <w:pStyle w:val="Table"/>
            </w:pPr>
            <w:r w:rsidRPr="00721A59">
              <w:t>Input current (low</w:t>
            </w:r>
            <w:r>
              <w:rPr>
                <w:vertAlign w:val="superscript"/>
              </w:rPr>
              <w:footnoteReference w:id="3"/>
            </w:r>
            <w:r w:rsidRPr="00721A59">
              <w:t>)</w:t>
            </w:r>
          </w:p>
        </w:tc>
        <w:tc>
          <w:tcPr>
            <w:tcW w:w="862" w:type="dxa"/>
          </w:tcPr>
          <w:p w:rsidR="00950690" w:rsidRPr="00721A59" w:rsidRDefault="00950690" w:rsidP="0010445B">
            <w:pPr>
              <w:pStyle w:val="Table"/>
              <w:jc w:val="center"/>
            </w:pPr>
          </w:p>
        </w:tc>
        <w:tc>
          <w:tcPr>
            <w:tcW w:w="975" w:type="dxa"/>
          </w:tcPr>
          <w:p w:rsidR="00950690" w:rsidRPr="00721A59" w:rsidRDefault="00950690" w:rsidP="0010445B">
            <w:pPr>
              <w:pStyle w:val="Table"/>
              <w:jc w:val="center"/>
            </w:pPr>
            <w:r w:rsidRPr="00721A59">
              <w:t>0</w:t>
            </w:r>
          </w:p>
        </w:tc>
        <w:tc>
          <w:tcPr>
            <w:tcW w:w="782" w:type="dxa"/>
          </w:tcPr>
          <w:p w:rsidR="00950690" w:rsidRPr="00721A59" w:rsidRDefault="00950690" w:rsidP="0010445B">
            <w:pPr>
              <w:pStyle w:val="Table"/>
              <w:jc w:val="center"/>
            </w:pPr>
          </w:p>
        </w:tc>
        <w:tc>
          <w:tcPr>
            <w:tcW w:w="851" w:type="dxa"/>
          </w:tcPr>
          <w:p w:rsidR="00950690" w:rsidRPr="00721A59" w:rsidRDefault="00950690" w:rsidP="0010445B">
            <w:pPr>
              <w:pStyle w:val="Table"/>
              <w:jc w:val="center"/>
            </w:pPr>
          </w:p>
        </w:tc>
        <w:tc>
          <w:tcPr>
            <w:tcW w:w="2592" w:type="dxa"/>
          </w:tcPr>
          <w:p w:rsidR="00950690" w:rsidRPr="00721A59" w:rsidRDefault="00950690" w:rsidP="0010445B">
            <w:pPr>
              <w:pStyle w:val="Table"/>
              <w:jc w:val="center"/>
            </w:pPr>
          </w:p>
        </w:tc>
      </w:tr>
      <w:tr w:rsidR="00950690" w:rsidTr="0010445B">
        <w:trPr>
          <w:jc w:val="center"/>
        </w:trPr>
        <w:tc>
          <w:tcPr>
            <w:tcW w:w="2529" w:type="dxa"/>
          </w:tcPr>
          <w:p w:rsidR="00950690" w:rsidRPr="00721A59" w:rsidRDefault="00950690" w:rsidP="0010445B">
            <w:pPr>
              <w:pStyle w:val="Table"/>
            </w:pPr>
            <w:r w:rsidRPr="00721A59">
              <w:t>Input delay</w:t>
            </w:r>
          </w:p>
        </w:tc>
        <w:tc>
          <w:tcPr>
            <w:tcW w:w="862" w:type="dxa"/>
          </w:tcPr>
          <w:p w:rsidR="00950690" w:rsidRPr="00721A59" w:rsidRDefault="00950690" w:rsidP="0010445B">
            <w:pPr>
              <w:pStyle w:val="Table"/>
              <w:jc w:val="center"/>
            </w:pPr>
          </w:p>
        </w:tc>
        <w:tc>
          <w:tcPr>
            <w:tcW w:w="975" w:type="dxa"/>
          </w:tcPr>
          <w:p w:rsidR="00950690" w:rsidRPr="00721A59" w:rsidRDefault="00950690" w:rsidP="0010445B">
            <w:pPr>
              <w:pStyle w:val="Table"/>
              <w:jc w:val="center"/>
            </w:pPr>
            <w:r w:rsidRPr="00721A59">
              <w:t>400</w:t>
            </w:r>
          </w:p>
        </w:tc>
        <w:tc>
          <w:tcPr>
            <w:tcW w:w="782" w:type="dxa"/>
          </w:tcPr>
          <w:p w:rsidR="00950690" w:rsidRPr="00721A59" w:rsidRDefault="00950690" w:rsidP="0010445B">
            <w:pPr>
              <w:pStyle w:val="Table"/>
              <w:jc w:val="center"/>
            </w:pPr>
            <w:r w:rsidRPr="00721A59">
              <w:t>1000</w:t>
            </w:r>
          </w:p>
        </w:tc>
        <w:tc>
          <w:tcPr>
            <w:tcW w:w="851" w:type="dxa"/>
          </w:tcPr>
          <w:p w:rsidR="00950690" w:rsidRPr="00721A59" w:rsidRDefault="00950690" w:rsidP="0010445B">
            <w:pPr>
              <w:pStyle w:val="Table"/>
              <w:jc w:val="center"/>
            </w:pPr>
            <w:r w:rsidRPr="00721A59">
              <w:t>ns</w:t>
            </w:r>
          </w:p>
        </w:tc>
        <w:tc>
          <w:tcPr>
            <w:tcW w:w="2592" w:type="dxa"/>
          </w:tcPr>
          <w:p w:rsidR="00950690" w:rsidRPr="00721A59" w:rsidRDefault="00950690" w:rsidP="0010445B">
            <w:pPr>
              <w:pStyle w:val="Table"/>
              <w:jc w:val="center"/>
            </w:pPr>
            <w:r w:rsidRPr="00721A59">
              <w:t>Pulse 0V to 2V, 50 Ohm</w:t>
            </w:r>
          </w:p>
        </w:tc>
      </w:tr>
    </w:tbl>
    <w:p w:rsidR="00950690" w:rsidRPr="00721A59" w:rsidRDefault="00950690" w:rsidP="00950690"/>
    <w:p w:rsidR="00950690" w:rsidRPr="00721A59" w:rsidRDefault="00950690" w:rsidP="00950690"/>
    <w:p w:rsidR="00950690" w:rsidRPr="00BD148E" w:rsidRDefault="00950690" w:rsidP="00950690">
      <w:pPr>
        <w:pStyle w:val="AppendixHeading2"/>
        <w:tabs>
          <w:tab w:val="clear" w:pos="360"/>
          <w:tab w:val="num" w:pos="0"/>
        </w:tabs>
        <w:ind w:hanging="720"/>
      </w:pPr>
      <w:bookmarkStart w:id="41" w:name="_Toc256001070"/>
      <w:bookmarkStart w:id="42" w:name="_Toc256000970"/>
      <w:bookmarkStart w:id="43" w:name="_Toc256000778"/>
      <w:bookmarkStart w:id="44" w:name="_Toc256000456"/>
      <w:bookmarkStart w:id="45" w:name="_Toc256000140"/>
      <w:bookmarkStart w:id="46" w:name="_Toc360173526"/>
      <w:bookmarkStart w:id="47" w:name="_Toc470170698"/>
      <w:bookmarkStart w:id="48" w:name="_Toc500754362"/>
      <w:bookmarkStart w:id="49" w:name="_Toc501380754"/>
      <w:bookmarkStart w:id="50" w:name="_Toc501613702"/>
      <w:bookmarkStart w:id="51" w:name="_Toc513619998"/>
      <w:bookmarkStart w:id="52" w:name="_Toc514066126"/>
      <w:bookmarkStart w:id="53" w:name="_Toc519585536"/>
      <w:r w:rsidRPr="00BD148E">
        <w:lastRenderedPageBreak/>
        <w:t>Typical PPS In and Trigger Performance</w:t>
      </w:r>
      <w:bookmarkEnd w:id="41"/>
      <w:bookmarkEnd w:id="42"/>
      <w:bookmarkEnd w:id="43"/>
      <w:bookmarkEnd w:id="44"/>
      <w:bookmarkEnd w:id="45"/>
      <w:bookmarkEnd w:id="46"/>
      <w:bookmarkEnd w:id="47"/>
      <w:bookmarkEnd w:id="48"/>
      <w:bookmarkEnd w:id="49"/>
      <w:bookmarkEnd w:id="50"/>
      <w:bookmarkEnd w:id="51"/>
      <w:bookmarkEnd w:id="52"/>
      <w:bookmarkEnd w:id="53"/>
    </w:p>
    <w:p w:rsidR="00950690" w:rsidRPr="00721A59" w:rsidRDefault="00950690" w:rsidP="00950690">
      <w:pPr>
        <w:keepNext/>
        <w:jc w:val="center"/>
      </w:pPr>
      <w:r>
        <w:rPr>
          <w:noProof/>
        </w:rPr>
        <w:drawing>
          <wp:inline distT="0" distB="0" distL="0" distR="0" wp14:anchorId="7E23E4FC" wp14:editId="42149C65">
            <wp:extent cx="4399200" cy="2790000"/>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4399200" cy="2790000"/>
                    </a:xfrm>
                    <a:prstGeom prst="rect">
                      <a:avLst/>
                    </a:prstGeom>
                    <a:noFill/>
                    <a:ln>
                      <a:noFill/>
                    </a:ln>
                  </pic:spPr>
                </pic:pic>
              </a:graphicData>
            </a:graphic>
          </wp:inline>
        </w:drawing>
      </w:r>
    </w:p>
    <w:p w:rsidR="00950690" w:rsidRPr="00721A59" w:rsidRDefault="00950690" w:rsidP="00950690">
      <w:pPr>
        <w:pStyle w:val="Caption"/>
      </w:pPr>
      <w:bookmarkStart w:id="54" w:name="_Toc256001255"/>
      <w:bookmarkStart w:id="55" w:name="_Toc256001090"/>
      <w:bookmarkStart w:id="56" w:name="_Toc256000576"/>
      <w:bookmarkStart w:id="57" w:name="_Toc256000257"/>
      <w:bookmarkStart w:id="58" w:name="_Toc360117914"/>
      <w:bookmarkStart w:id="59" w:name="_Toc470084096"/>
      <w:bookmarkStart w:id="60" w:name="_Toc500754482"/>
      <w:bookmarkStart w:id="61" w:name="_Toc501011113"/>
      <w:bookmarkStart w:id="62" w:name="_Toc501452991"/>
      <w:bookmarkStart w:id="63" w:name="_Toc501613851"/>
      <w:bookmarkStart w:id="64" w:name="_Toc513620118"/>
      <w:bookmarkStart w:id="65" w:name="_Toc514066246"/>
      <w:bookmarkStart w:id="66" w:name="_Toc519585656"/>
      <w:r w:rsidRPr="00721A59">
        <w:t xml:space="preserve">Figure </w:t>
      </w:r>
      <w:r w:rsidRPr="00721A59">
        <w:fldChar w:fldCharType="begin"/>
      </w:r>
      <w:r>
        <w:instrText xml:space="preserve"> SEQ Figure \* ARABIC </w:instrText>
      </w:r>
      <w:r w:rsidRPr="00721A59">
        <w:fldChar w:fldCharType="separate"/>
      </w:r>
      <w:r>
        <w:t>56</w:t>
      </w:r>
      <w:r w:rsidRPr="00721A59">
        <w:fldChar w:fldCharType="end"/>
      </w:r>
      <w:r w:rsidRPr="00721A59">
        <w:t>: Required PPS Pulse Width</w:t>
      </w:r>
      <w:bookmarkEnd w:id="54"/>
      <w:bookmarkEnd w:id="55"/>
      <w:bookmarkEnd w:id="56"/>
      <w:bookmarkEnd w:id="57"/>
      <w:bookmarkEnd w:id="58"/>
      <w:bookmarkEnd w:id="59"/>
      <w:bookmarkEnd w:id="60"/>
      <w:bookmarkEnd w:id="61"/>
      <w:bookmarkEnd w:id="62"/>
      <w:bookmarkEnd w:id="63"/>
      <w:bookmarkEnd w:id="64"/>
      <w:bookmarkEnd w:id="65"/>
      <w:bookmarkEnd w:id="66"/>
    </w:p>
    <w:p w:rsidR="00950690" w:rsidRPr="00721A59" w:rsidRDefault="00950690" w:rsidP="00950690"/>
    <w:p w:rsidR="00950690" w:rsidRPr="00721A59" w:rsidRDefault="00950690" w:rsidP="00950690">
      <w:pPr>
        <w:keepNext/>
        <w:jc w:val="center"/>
      </w:pPr>
      <w:r>
        <w:rPr>
          <w:noProof/>
        </w:rPr>
        <w:drawing>
          <wp:inline distT="0" distB="0" distL="0" distR="0" wp14:anchorId="2BC0AA7B" wp14:editId="1958F7B8">
            <wp:extent cx="4388400" cy="27900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4388400" cy="2790000"/>
                    </a:xfrm>
                    <a:prstGeom prst="rect">
                      <a:avLst/>
                    </a:prstGeom>
                    <a:noFill/>
                    <a:ln>
                      <a:noFill/>
                    </a:ln>
                  </pic:spPr>
                </pic:pic>
              </a:graphicData>
            </a:graphic>
          </wp:inline>
        </w:drawing>
      </w:r>
    </w:p>
    <w:p w:rsidR="00950690" w:rsidRPr="00721A59" w:rsidRDefault="00950690" w:rsidP="00950690">
      <w:pPr>
        <w:pStyle w:val="Caption"/>
      </w:pPr>
      <w:bookmarkStart w:id="67" w:name="_Toc256001256"/>
      <w:bookmarkStart w:id="68" w:name="_Toc256001091"/>
      <w:bookmarkStart w:id="69" w:name="_Toc256000577"/>
      <w:bookmarkStart w:id="70" w:name="_Toc256000258"/>
      <w:bookmarkStart w:id="71" w:name="_Toc360117915"/>
      <w:bookmarkStart w:id="72" w:name="_Toc470084097"/>
      <w:bookmarkStart w:id="73" w:name="_Toc500754483"/>
      <w:bookmarkStart w:id="74" w:name="_Toc501011114"/>
      <w:bookmarkStart w:id="75" w:name="_Toc501452992"/>
      <w:bookmarkStart w:id="76" w:name="_Toc501613852"/>
      <w:bookmarkStart w:id="77" w:name="_Toc513620119"/>
      <w:bookmarkStart w:id="78" w:name="_Toc514066247"/>
      <w:bookmarkStart w:id="79" w:name="_Toc519585657"/>
      <w:r w:rsidRPr="00721A59">
        <w:t xml:space="preserve">Figure </w:t>
      </w:r>
      <w:r w:rsidRPr="00721A59">
        <w:fldChar w:fldCharType="begin"/>
      </w:r>
      <w:r>
        <w:instrText xml:space="preserve"> SEQ Figure \* ARABIC </w:instrText>
      </w:r>
      <w:r w:rsidRPr="00721A59">
        <w:fldChar w:fldCharType="separate"/>
      </w:r>
      <w:r>
        <w:t>57</w:t>
      </w:r>
      <w:r w:rsidRPr="00721A59">
        <w:fldChar w:fldCharType="end"/>
      </w:r>
      <w:r w:rsidRPr="00721A59">
        <w:t>: PPS In Delay</w:t>
      </w:r>
      <w:bookmarkEnd w:id="67"/>
      <w:bookmarkEnd w:id="68"/>
      <w:bookmarkEnd w:id="69"/>
      <w:bookmarkEnd w:id="70"/>
      <w:bookmarkEnd w:id="71"/>
      <w:bookmarkEnd w:id="72"/>
      <w:bookmarkEnd w:id="73"/>
      <w:bookmarkEnd w:id="74"/>
      <w:bookmarkEnd w:id="75"/>
      <w:bookmarkEnd w:id="76"/>
      <w:bookmarkEnd w:id="77"/>
      <w:bookmarkEnd w:id="78"/>
      <w:bookmarkEnd w:id="79"/>
    </w:p>
    <w:p w:rsidR="00950690" w:rsidRPr="00721A59" w:rsidRDefault="00950690" w:rsidP="00950690"/>
    <w:p w:rsidR="00950690" w:rsidRPr="00721A59" w:rsidRDefault="00950690" w:rsidP="00950690"/>
    <w:p w:rsidR="00950690" w:rsidRPr="00BD148E" w:rsidRDefault="00950690" w:rsidP="00950690">
      <w:pPr>
        <w:pStyle w:val="AppendixHeading2"/>
        <w:tabs>
          <w:tab w:val="clear" w:pos="360"/>
          <w:tab w:val="num" w:pos="0"/>
        </w:tabs>
        <w:ind w:hanging="720"/>
      </w:pPr>
      <w:bookmarkStart w:id="80" w:name="_Toc256001071"/>
      <w:bookmarkStart w:id="81" w:name="_Toc256000971"/>
      <w:bookmarkStart w:id="82" w:name="_Toc256000779"/>
      <w:bookmarkStart w:id="83" w:name="_Toc256000457"/>
      <w:bookmarkStart w:id="84" w:name="_Toc256000141"/>
      <w:bookmarkStart w:id="85" w:name="_Toc360173527"/>
      <w:bookmarkStart w:id="86" w:name="_Toc470170699"/>
      <w:bookmarkStart w:id="87" w:name="_Toc500754363"/>
      <w:bookmarkStart w:id="88" w:name="_Toc501380755"/>
      <w:bookmarkStart w:id="89" w:name="_Toc501613703"/>
      <w:bookmarkStart w:id="90" w:name="_Toc513619999"/>
      <w:bookmarkStart w:id="91" w:name="_Toc514066127"/>
      <w:bookmarkStart w:id="92" w:name="_Toc519585537"/>
      <w:r w:rsidRPr="00BD148E">
        <w:lastRenderedPageBreak/>
        <w:t>Hints and Advice</w:t>
      </w:r>
      <w:bookmarkEnd w:id="80"/>
      <w:bookmarkEnd w:id="81"/>
      <w:bookmarkEnd w:id="82"/>
      <w:bookmarkEnd w:id="83"/>
      <w:bookmarkEnd w:id="84"/>
      <w:bookmarkEnd w:id="85"/>
      <w:bookmarkEnd w:id="86"/>
      <w:bookmarkEnd w:id="87"/>
      <w:bookmarkEnd w:id="88"/>
      <w:bookmarkEnd w:id="89"/>
      <w:bookmarkEnd w:id="90"/>
      <w:bookmarkEnd w:id="91"/>
      <w:bookmarkEnd w:id="92"/>
    </w:p>
    <w:p w:rsidR="00950690" w:rsidRPr="00A11003" w:rsidRDefault="00950690" w:rsidP="00950690">
      <w:pPr>
        <w:pStyle w:val="BulletList1"/>
        <w:keepNext/>
        <w:ind w:left="1009" w:hanging="289"/>
        <w:rPr>
          <w:spacing w:val="-4"/>
        </w:rPr>
      </w:pPr>
      <w:r w:rsidRPr="00A11003">
        <w:rPr>
          <w:noProof/>
          <w:spacing w:val="-4"/>
        </w:rPr>
        <w:t>The PPS and trigger inputs work with regular CMOS TTL outputs</w:t>
      </w:r>
      <w:r w:rsidRPr="00A11003">
        <w:rPr>
          <w:spacing w:val="-4"/>
        </w:rPr>
        <w:t>.</w:t>
      </w:r>
    </w:p>
    <w:p w:rsidR="00950690" w:rsidRPr="00A11003" w:rsidRDefault="00950690" w:rsidP="00950690">
      <w:pPr>
        <w:pStyle w:val="BulletList1"/>
        <w:keepNext/>
        <w:ind w:left="1009" w:hanging="289"/>
        <w:rPr>
          <w:spacing w:val="-4"/>
        </w:rPr>
      </w:pPr>
      <w:r w:rsidRPr="00A11003">
        <w:rPr>
          <w:noProof/>
          <w:spacing w:val="-4"/>
        </w:rPr>
        <w:t>The drive capability of a standard TTL output is inadequate to drive PPS and trigger high.</w:t>
      </w:r>
    </w:p>
    <w:p w:rsidR="00950690" w:rsidRPr="00A11003" w:rsidRDefault="00950690" w:rsidP="00950690">
      <w:pPr>
        <w:pStyle w:val="BulletList1"/>
        <w:rPr>
          <w:spacing w:val="-4"/>
        </w:rPr>
      </w:pPr>
      <w:r w:rsidRPr="00A11003">
        <w:rPr>
          <w:noProof/>
          <w:spacing w:val="-4"/>
        </w:rPr>
        <w:t>When more systems use the same PPS source using BNC-T-adaptors it should be verified that its drive capability is sufficient.</w:t>
      </w:r>
    </w:p>
    <w:p w:rsidR="00950690" w:rsidRPr="00A11003" w:rsidRDefault="00950690" w:rsidP="00950690">
      <w:pPr>
        <w:pStyle w:val="BulletList1"/>
        <w:rPr>
          <w:spacing w:val="-4"/>
        </w:rPr>
      </w:pPr>
      <w:r w:rsidRPr="00A11003">
        <w:rPr>
          <w:noProof/>
          <w:spacing w:val="-4"/>
        </w:rPr>
        <w:t>For distribution of the PPS pulse, "PPS out" may be used instead of the BNC-T-adaptor.</w:t>
      </w:r>
    </w:p>
    <w:p w:rsidR="00950690" w:rsidRPr="00A11003" w:rsidRDefault="00950690" w:rsidP="00950690">
      <w:pPr>
        <w:pStyle w:val="BulletList1"/>
        <w:ind w:right="-149"/>
        <w:rPr>
          <w:spacing w:val="-4"/>
        </w:rPr>
      </w:pPr>
      <w:r w:rsidRPr="00A11003">
        <w:rPr>
          <w:noProof/>
          <w:spacing w:val="-4"/>
        </w:rPr>
        <w:t xml:space="preserve">Make sure the PPS source output is in accordance with the specifications listed in </w:t>
      </w:r>
      <w:r w:rsidRPr="00A11003">
        <w:rPr>
          <w:i/>
          <w:spacing w:val="-4"/>
        </w:rPr>
        <w:fldChar w:fldCharType="begin"/>
      </w:r>
      <w:r w:rsidRPr="00A11003">
        <w:rPr>
          <w:i/>
          <w:noProof/>
          <w:spacing w:val="-4"/>
        </w:rPr>
        <w:instrText xml:space="preserve"> REF _Ref360117622 \h </w:instrText>
      </w:r>
      <w:r w:rsidRPr="00A11003">
        <w:rPr>
          <w:i/>
          <w:spacing w:val="-4"/>
        </w:rPr>
        <w:instrText xml:space="preserve"> \* MERGEFORMAT </w:instrText>
      </w:r>
      <w:r w:rsidRPr="00A11003">
        <w:rPr>
          <w:i/>
          <w:spacing w:val="-4"/>
        </w:rPr>
      </w:r>
      <w:r w:rsidRPr="00A11003">
        <w:rPr>
          <w:i/>
          <w:spacing w:val="-4"/>
        </w:rPr>
        <w:fldChar w:fldCharType="separate"/>
      </w:r>
      <w:r w:rsidRPr="009E025D">
        <w:rPr>
          <w:i/>
          <w:spacing w:val="-4"/>
        </w:rPr>
        <w:t xml:space="preserve">Table </w:t>
      </w:r>
      <w:r w:rsidRPr="009E025D">
        <w:rPr>
          <w:i/>
          <w:noProof/>
          <w:spacing w:val="-4"/>
        </w:rPr>
        <w:t>20</w:t>
      </w:r>
      <w:r w:rsidRPr="00A11003">
        <w:rPr>
          <w:i/>
          <w:spacing w:val="-4"/>
        </w:rPr>
        <w:fldChar w:fldCharType="end"/>
      </w:r>
      <w:r w:rsidRPr="00A11003">
        <w:rPr>
          <w:noProof/>
          <w:spacing w:val="-4"/>
        </w:rPr>
        <w:t>.</w:t>
      </w:r>
    </w:p>
    <w:p w:rsidR="00950690" w:rsidRPr="00A11003" w:rsidRDefault="00950690" w:rsidP="00950690">
      <w:pPr>
        <w:pStyle w:val="BulletList1"/>
        <w:rPr>
          <w:spacing w:val="-4"/>
        </w:rPr>
      </w:pPr>
      <w:r w:rsidRPr="00A11003">
        <w:rPr>
          <w:noProof/>
          <w:spacing w:val="-4"/>
        </w:rPr>
        <w:t xml:space="preserve">Operation is ensured if the source resistance is less than 470 Ohm, the drive voltage is greater than 3V, </w:t>
      </w:r>
      <w:r w:rsidRPr="00A11003">
        <w:rPr>
          <w:b/>
          <w:noProof/>
          <w:spacing w:val="-4"/>
        </w:rPr>
        <w:t>and</w:t>
      </w:r>
      <w:r w:rsidRPr="00A11003">
        <w:rPr>
          <w:noProof/>
          <w:spacing w:val="-4"/>
        </w:rPr>
        <w:t xml:space="preserve"> the pulse width is greater than 1µs.</w:t>
      </w:r>
    </w:p>
    <w:p w:rsidR="00950690" w:rsidRPr="00721A59" w:rsidRDefault="00950690" w:rsidP="00950690"/>
    <w:p w:rsidR="00950690" w:rsidRDefault="00950690" w:rsidP="00950690">
      <w:pPr>
        <w:rPr>
          <w:noProof/>
        </w:rPr>
      </w:pPr>
      <w:r w:rsidRPr="00721A59">
        <w:t xml:space="preserve">The PPS/trigger described is the externally </w:t>
      </w:r>
      <w:r w:rsidRPr="00721A59">
        <w:rPr>
          <w:noProof/>
        </w:rPr>
        <w:t>available signal. The signal is conditioned before it is internally distributed.</w:t>
      </w:r>
    </w:p>
    <w:p w:rsidR="00950690" w:rsidRPr="00721A59" w:rsidRDefault="00950690" w:rsidP="00950690"/>
    <w:p w:rsidR="00950690" w:rsidRPr="00721A59" w:rsidRDefault="00950690" w:rsidP="00950690">
      <w:pPr>
        <w:keepNext/>
        <w:jc w:val="center"/>
      </w:pPr>
      <w:r>
        <w:object w:dxaOrig="8508" w:dyaOrig="2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5.2pt;height:146.7pt" o:ole="">
            <v:imagedata r:id="rId10" o:title=""/>
          </v:shape>
          <o:OLEObject Type="Embed" ProgID="Visio.Drawing.11" ShapeID="_x0000_i1025" DrawAspect="Content" ObjectID="_1796038208" r:id="rId11"/>
        </w:object>
      </w:r>
    </w:p>
    <w:p w:rsidR="00950690" w:rsidRPr="00721A59" w:rsidRDefault="00950690" w:rsidP="00950690">
      <w:pPr>
        <w:pStyle w:val="Caption"/>
      </w:pPr>
      <w:bookmarkStart w:id="93" w:name="_Toc256001257"/>
      <w:bookmarkStart w:id="94" w:name="_Toc256001092"/>
      <w:bookmarkStart w:id="95" w:name="_Toc256000578"/>
      <w:bookmarkStart w:id="96" w:name="_Toc256000259"/>
      <w:bookmarkStart w:id="97" w:name="_Toc360117916"/>
      <w:bookmarkStart w:id="98" w:name="_Toc470084098"/>
      <w:bookmarkStart w:id="99" w:name="_Toc500754484"/>
      <w:bookmarkStart w:id="100" w:name="_Toc501011115"/>
      <w:bookmarkStart w:id="101" w:name="_Toc501452993"/>
      <w:bookmarkStart w:id="102" w:name="_Toc501613853"/>
      <w:bookmarkStart w:id="103" w:name="_Toc513620120"/>
      <w:bookmarkStart w:id="104" w:name="_Toc514066248"/>
      <w:bookmarkStart w:id="105" w:name="_Toc519585658"/>
      <w:r w:rsidRPr="00721A59">
        <w:t xml:space="preserve">Figure </w:t>
      </w:r>
      <w:r w:rsidRPr="00721A59">
        <w:fldChar w:fldCharType="begin"/>
      </w:r>
      <w:r>
        <w:instrText xml:space="preserve"> SEQ Figure \* ARABIC </w:instrText>
      </w:r>
      <w:r w:rsidRPr="00721A59">
        <w:fldChar w:fldCharType="separate"/>
      </w:r>
      <w:r>
        <w:t>58</w:t>
      </w:r>
      <w:r w:rsidRPr="00721A59">
        <w:fldChar w:fldCharType="end"/>
      </w:r>
      <w:r w:rsidRPr="00721A59">
        <w:t>: PPS/Trigger Signal</w:t>
      </w:r>
      <w:bookmarkEnd w:id="93"/>
      <w:bookmarkEnd w:id="94"/>
      <w:bookmarkEnd w:id="95"/>
      <w:bookmarkEnd w:id="96"/>
      <w:bookmarkEnd w:id="97"/>
      <w:bookmarkEnd w:id="98"/>
      <w:bookmarkEnd w:id="99"/>
      <w:bookmarkEnd w:id="100"/>
      <w:bookmarkEnd w:id="101"/>
      <w:bookmarkEnd w:id="102"/>
      <w:bookmarkEnd w:id="103"/>
      <w:bookmarkEnd w:id="104"/>
      <w:bookmarkEnd w:id="105"/>
    </w:p>
    <w:p w:rsidR="00810300" w:rsidRDefault="00810300">
      <w:pPr>
        <w:contextualSpacing/>
      </w:pPr>
    </w:p>
    <w:p w:rsidR="00950690" w:rsidRDefault="00950690">
      <w:pPr>
        <w:contextualSpacing/>
      </w:pPr>
    </w:p>
    <w:p w:rsidR="00950690" w:rsidRDefault="00950690">
      <w:pPr>
        <w:contextualSpacing/>
      </w:pPr>
    </w:p>
    <w:p w:rsidR="00950690" w:rsidRDefault="00950690">
      <w:pPr>
        <w:contextualSpacing/>
      </w:pPr>
      <w:r>
        <w:t>Error Messages (Trigger Related)</w:t>
      </w:r>
    </w:p>
    <w:tbl>
      <w:tblPr>
        <w:tblW w:w="963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85" w:type="dxa"/>
          <w:right w:w="85" w:type="dxa"/>
        </w:tblCellMar>
        <w:tblLook w:val="00A0" w:firstRow="1" w:lastRow="0" w:firstColumn="1" w:lastColumn="0" w:noHBand="0" w:noVBand="0"/>
      </w:tblPr>
      <w:tblGrid>
        <w:gridCol w:w="2185"/>
        <w:gridCol w:w="3545"/>
        <w:gridCol w:w="2188"/>
        <w:gridCol w:w="1721"/>
      </w:tblGrid>
      <w:tr w:rsidR="00950690" w:rsidTr="00950690">
        <w:trPr>
          <w:cantSplit/>
          <w:trHeight w:val="434"/>
          <w:jc w:val="center"/>
        </w:trPr>
        <w:tc>
          <w:tcPr>
            <w:tcW w:w="2185" w:type="dxa"/>
            <w:tcBorders>
              <w:top w:val="single" w:sz="2" w:space="0" w:color="000000"/>
              <w:left w:val="single" w:sz="2" w:space="0" w:color="000000"/>
              <w:bottom w:val="single" w:sz="2" w:space="0" w:color="000000"/>
              <w:right w:val="single" w:sz="2" w:space="0" w:color="000000"/>
            </w:tcBorders>
          </w:tcPr>
          <w:p w:rsidR="00950690" w:rsidRPr="00950690" w:rsidRDefault="00950690" w:rsidP="0010445B">
            <w:pPr>
              <w:pStyle w:val="Table"/>
              <w:ind w:left="-17"/>
              <w:rPr>
                <w:b/>
                <w:spacing w:val="-4"/>
                <w:sz w:val="22"/>
              </w:rPr>
            </w:pPr>
            <w:r w:rsidRPr="00950690">
              <w:rPr>
                <w:b/>
                <w:spacing w:val="-4"/>
                <w:sz w:val="22"/>
              </w:rPr>
              <w:t>Message</w:t>
            </w:r>
          </w:p>
        </w:tc>
        <w:tc>
          <w:tcPr>
            <w:tcW w:w="3545" w:type="dxa"/>
            <w:tcBorders>
              <w:top w:val="single" w:sz="2" w:space="0" w:color="000000"/>
              <w:left w:val="single" w:sz="2" w:space="0" w:color="000000"/>
              <w:bottom w:val="single" w:sz="2" w:space="0" w:color="000000"/>
              <w:right w:val="single" w:sz="2" w:space="0" w:color="000000"/>
            </w:tcBorders>
          </w:tcPr>
          <w:p w:rsidR="00950690" w:rsidRPr="00950690" w:rsidRDefault="00950690" w:rsidP="0010445B">
            <w:pPr>
              <w:pStyle w:val="Table"/>
              <w:ind w:left="-17"/>
              <w:rPr>
                <w:b/>
                <w:spacing w:val="-4"/>
                <w:sz w:val="22"/>
              </w:rPr>
            </w:pPr>
            <w:r w:rsidRPr="00950690">
              <w:rPr>
                <w:b/>
                <w:spacing w:val="-4"/>
                <w:sz w:val="22"/>
              </w:rPr>
              <w:t>Description</w:t>
            </w:r>
          </w:p>
        </w:tc>
        <w:tc>
          <w:tcPr>
            <w:tcW w:w="2188" w:type="dxa"/>
            <w:tcBorders>
              <w:top w:val="single" w:sz="2" w:space="0" w:color="000000"/>
              <w:left w:val="single" w:sz="2" w:space="0" w:color="000000"/>
              <w:bottom w:val="single" w:sz="2" w:space="0" w:color="000000"/>
              <w:right w:val="single" w:sz="2" w:space="0" w:color="000000"/>
            </w:tcBorders>
          </w:tcPr>
          <w:p w:rsidR="00950690" w:rsidRPr="00950690" w:rsidRDefault="00950690" w:rsidP="0010445B">
            <w:pPr>
              <w:pStyle w:val="Table"/>
              <w:ind w:left="-17"/>
              <w:rPr>
                <w:b/>
                <w:spacing w:val="-4"/>
                <w:sz w:val="22"/>
              </w:rPr>
            </w:pPr>
            <w:r w:rsidRPr="00950690">
              <w:rPr>
                <w:b/>
                <w:spacing w:val="-4"/>
                <w:sz w:val="22"/>
              </w:rPr>
              <w:t>Action</w:t>
            </w:r>
          </w:p>
        </w:tc>
        <w:tc>
          <w:tcPr>
            <w:tcW w:w="1721" w:type="dxa"/>
            <w:tcBorders>
              <w:top w:val="single" w:sz="2" w:space="0" w:color="000000"/>
              <w:left w:val="single" w:sz="2" w:space="0" w:color="000000"/>
              <w:bottom w:val="single" w:sz="2" w:space="0" w:color="000000"/>
              <w:right w:val="single" w:sz="2" w:space="0" w:color="000000"/>
            </w:tcBorders>
          </w:tcPr>
          <w:p w:rsidR="00950690" w:rsidRPr="00950690" w:rsidRDefault="00950690" w:rsidP="0010445B">
            <w:pPr>
              <w:pStyle w:val="Table"/>
              <w:ind w:left="-17"/>
              <w:rPr>
                <w:b/>
                <w:spacing w:val="-4"/>
                <w:sz w:val="22"/>
              </w:rPr>
            </w:pPr>
            <w:r w:rsidRPr="00950690">
              <w:rPr>
                <w:b/>
                <w:spacing w:val="-4"/>
                <w:sz w:val="22"/>
              </w:rPr>
              <w:t>Type</w:t>
            </w:r>
          </w:p>
        </w:tc>
      </w:tr>
      <w:tr w:rsidR="00950690" w:rsidTr="00950690">
        <w:trPr>
          <w:cantSplit/>
          <w:trHeight w:val="434"/>
          <w:jc w:val="center"/>
        </w:trPr>
        <w:tc>
          <w:tcPr>
            <w:tcW w:w="2185" w:type="dxa"/>
            <w:tcBorders>
              <w:top w:val="single" w:sz="2" w:space="0" w:color="000000"/>
              <w:left w:val="single" w:sz="2" w:space="0" w:color="000000"/>
              <w:bottom w:val="single" w:sz="2" w:space="0" w:color="000000"/>
              <w:right w:val="single" w:sz="2" w:space="0" w:color="000000"/>
            </w:tcBorders>
            <w:hideMark/>
          </w:tcPr>
          <w:p w:rsidR="00950690" w:rsidRDefault="00950690" w:rsidP="0010445B">
            <w:pPr>
              <w:pStyle w:val="Table"/>
              <w:ind w:left="-17"/>
              <w:rPr>
                <w:spacing w:val="-4"/>
                <w:sz w:val="18"/>
                <w:szCs w:val="18"/>
              </w:rPr>
            </w:pPr>
            <w:r>
              <w:rPr>
                <w:spacing w:val="-4"/>
                <w:sz w:val="18"/>
                <w:szCs w:val="18"/>
              </w:rPr>
              <w:t>Trigger out length (x) is invalid</w:t>
            </w:r>
          </w:p>
        </w:tc>
        <w:tc>
          <w:tcPr>
            <w:tcW w:w="3545" w:type="dxa"/>
            <w:tcBorders>
              <w:top w:val="single" w:sz="2" w:space="0" w:color="000000"/>
              <w:left w:val="single" w:sz="2" w:space="0" w:color="000000"/>
              <w:bottom w:val="single" w:sz="2" w:space="0" w:color="000000"/>
              <w:right w:val="single" w:sz="2" w:space="0" w:color="000000"/>
            </w:tcBorders>
            <w:hideMark/>
          </w:tcPr>
          <w:p w:rsidR="00950690" w:rsidRDefault="00950690" w:rsidP="0010445B">
            <w:pPr>
              <w:pStyle w:val="Table"/>
              <w:ind w:left="-17"/>
              <w:rPr>
                <w:spacing w:val="-4"/>
                <w:sz w:val="18"/>
                <w:szCs w:val="18"/>
              </w:rPr>
            </w:pPr>
            <w:r>
              <w:rPr>
                <w:spacing w:val="-4"/>
                <w:sz w:val="18"/>
                <w:szCs w:val="18"/>
              </w:rPr>
              <w:t xml:space="preserve">An unsupported value was received for trigger setup. </w:t>
            </w:r>
          </w:p>
        </w:tc>
        <w:tc>
          <w:tcPr>
            <w:tcW w:w="2188" w:type="dxa"/>
            <w:tcBorders>
              <w:top w:val="single" w:sz="2" w:space="0" w:color="000000"/>
              <w:left w:val="single" w:sz="2" w:space="0" w:color="000000"/>
              <w:bottom w:val="single" w:sz="2" w:space="0" w:color="000000"/>
              <w:right w:val="single" w:sz="2" w:space="0" w:color="000000"/>
            </w:tcBorders>
            <w:hideMark/>
          </w:tcPr>
          <w:p w:rsidR="00950690" w:rsidRDefault="00950690" w:rsidP="0010445B">
            <w:pPr>
              <w:pStyle w:val="Table"/>
              <w:ind w:left="-17"/>
              <w:rPr>
                <w:spacing w:val="-4"/>
                <w:sz w:val="18"/>
                <w:szCs w:val="18"/>
              </w:rPr>
            </w:pPr>
            <w:r>
              <w:rPr>
                <w:spacing w:val="-4"/>
                <w:sz w:val="18"/>
                <w:szCs w:val="18"/>
              </w:rPr>
              <w:t>Check settings in user interface.</w:t>
            </w:r>
          </w:p>
        </w:tc>
        <w:tc>
          <w:tcPr>
            <w:tcW w:w="1721" w:type="dxa"/>
            <w:tcBorders>
              <w:top w:val="single" w:sz="2" w:space="0" w:color="000000"/>
              <w:left w:val="single" w:sz="2" w:space="0" w:color="000000"/>
              <w:bottom w:val="single" w:sz="2" w:space="0" w:color="000000"/>
              <w:right w:val="single" w:sz="2" w:space="0" w:color="000000"/>
            </w:tcBorders>
            <w:hideMark/>
          </w:tcPr>
          <w:p w:rsidR="00950690" w:rsidRDefault="00950690" w:rsidP="0010445B">
            <w:pPr>
              <w:pStyle w:val="Table"/>
              <w:ind w:left="-17"/>
              <w:rPr>
                <w:spacing w:val="-4"/>
                <w:sz w:val="18"/>
                <w:szCs w:val="18"/>
              </w:rPr>
            </w:pPr>
            <w:r>
              <w:rPr>
                <w:spacing w:val="-4"/>
                <w:sz w:val="18"/>
                <w:szCs w:val="18"/>
              </w:rPr>
              <w:t>External Trigger</w:t>
            </w:r>
          </w:p>
        </w:tc>
      </w:tr>
      <w:tr w:rsidR="00950690" w:rsidTr="00950690">
        <w:trPr>
          <w:cantSplit/>
          <w:trHeight w:val="434"/>
          <w:jc w:val="center"/>
        </w:trPr>
        <w:tc>
          <w:tcPr>
            <w:tcW w:w="2185" w:type="dxa"/>
            <w:tcBorders>
              <w:top w:val="single" w:sz="2" w:space="0" w:color="000000"/>
              <w:left w:val="single" w:sz="2" w:space="0" w:color="000000"/>
              <w:bottom w:val="single" w:sz="2" w:space="0" w:color="000000"/>
              <w:right w:val="single" w:sz="2" w:space="0" w:color="000000"/>
            </w:tcBorders>
            <w:hideMark/>
          </w:tcPr>
          <w:p w:rsidR="00950690" w:rsidRDefault="00950690" w:rsidP="0010445B">
            <w:pPr>
              <w:pStyle w:val="Table"/>
              <w:ind w:left="-17"/>
              <w:rPr>
                <w:spacing w:val="-4"/>
                <w:sz w:val="18"/>
                <w:szCs w:val="18"/>
              </w:rPr>
            </w:pPr>
            <w:r>
              <w:rPr>
                <w:spacing w:val="-4"/>
                <w:sz w:val="18"/>
                <w:szCs w:val="18"/>
              </w:rPr>
              <w:t>Trigger out offset (x) is invalid</w:t>
            </w:r>
          </w:p>
        </w:tc>
        <w:tc>
          <w:tcPr>
            <w:tcW w:w="3545" w:type="dxa"/>
            <w:tcBorders>
              <w:top w:val="single" w:sz="2" w:space="0" w:color="000000"/>
              <w:left w:val="single" w:sz="2" w:space="0" w:color="000000"/>
              <w:bottom w:val="single" w:sz="2" w:space="0" w:color="000000"/>
              <w:right w:val="single" w:sz="2" w:space="0" w:color="000000"/>
            </w:tcBorders>
            <w:hideMark/>
          </w:tcPr>
          <w:p w:rsidR="00950690" w:rsidRDefault="00950690" w:rsidP="0010445B">
            <w:pPr>
              <w:pStyle w:val="Table"/>
              <w:ind w:left="-17"/>
              <w:rPr>
                <w:spacing w:val="-4"/>
                <w:sz w:val="18"/>
                <w:szCs w:val="18"/>
              </w:rPr>
            </w:pPr>
            <w:r>
              <w:rPr>
                <w:spacing w:val="-4"/>
                <w:sz w:val="18"/>
                <w:szCs w:val="18"/>
              </w:rPr>
              <w:t xml:space="preserve">An unsupported value was received for trigger setup. </w:t>
            </w:r>
          </w:p>
        </w:tc>
        <w:tc>
          <w:tcPr>
            <w:tcW w:w="2188" w:type="dxa"/>
            <w:tcBorders>
              <w:top w:val="single" w:sz="2" w:space="0" w:color="000000"/>
              <w:left w:val="single" w:sz="2" w:space="0" w:color="000000"/>
              <w:bottom w:val="single" w:sz="2" w:space="0" w:color="000000"/>
              <w:right w:val="single" w:sz="2" w:space="0" w:color="000000"/>
            </w:tcBorders>
            <w:hideMark/>
          </w:tcPr>
          <w:p w:rsidR="00950690" w:rsidRDefault="00950690" w:rsidP="0010445B">
            <w:pPr>
              <w:pStyle w:val="Table"/>
              <w:ind w:left="-17"/>
              <w:rPr>
                <w:spacing w:val="-4"/>
                <w:sz w:val="18"/>
                <w:szCs w:val="18"/>
              </w:rPr>
            </w:pPr>
            <w:r>
              <w:rPr>
                <w:spacing w:val="-4"/>
                <w:sz w:val="18"/>
                <w:szCs w:val="18"/>
              </w:rPr>
              <w:t>Check settings in user interface.</w:t>
            </w:r>
          </w:p>
        </w:tc>
        <w:tc>
          <w:tcPr>
            <w:tcW w:w="1721" w:type="dxa"/>
            <w:tcBorders>
              <w:top w:val="single" w:sz="2" w:space="0" w:color="000000"/>
              <w:left w:val="single" w:sz="2" w:space="0" w:color="000000"/>
              <w:bottom w:val="single" w:sz="2" w:space="0" w:color="000000"/>
              <w:right w:val="single" w:sz="2" w:space="0" w:color="000000"/>
            </w:tcBorders>
            <w:hideMark/>
          </w:tcPr>
          <w:p w:rsidR="00950690" w:rsidRDefault="00950690" w:rsidP="0010445B">
            <w:pPr>
              <w:pStyle w:val="Table"/>
              <w:ind w:left="-17"/>
              <w:rPr>
                <w:spacing w:val="-4"/>
                <w:sz w:val="18"/>
                <w:szCs w:val="18"/>
              </w:rPr>
            </w:pPr>
            <w:r>
              <w:rPr>
                <w:spacing w:val="-4"/>
                <w:sz w:val="18"/>
                <w:szCs w:val="18"/>
              </w:rPr>
              <w:t>External Trigger</w:t>
            </w:r>
          </w:p>
        </w:tc>
      </w:tr>
      <w:tr w:rsidR="00950690" w:rsidTr="00950690">
        <w:trPr>
          <w:cantSplit/>
          <w:trHeight w:val="732"/>
          <w:jc w:val="center"/>
        </w:trPr>
        <w:tc>
          <w:tcPr>
            <w:tcW w:w="2185" w:type="dxa"/>
            <w:tcBorders>
              <w:top w:val="single" w:sz="2" w:space="0" w:color="000000"/>
              <w:left w:val="single" w:sz="2" w:space="0" w:color="000000"/>
              <w:bottom w:val="single" w:sz="2" w:space="0" w:color="000000"/>
              <w:right w:val="single" w:sz="2" w:space="0" w:color="000000"/>
            </w:tcBorders>
            <w:hideMark/>
          </w:tcPr>
          <w:p w:rsidR="00950690" w:rsidRDefault="00950690" w:rsidP="0010445B">
            <w:pPr>
              <w:pStyle w:val="Table"/>
              <w:ind w:left="-17"/>
              <w:rPr>
                <w:spacing w:val="-4"/>
                <w:sz w:val="18"/>
                <w:szCs w:val="18"/>
              </w:rPr>
            </w:pPr>
            <w:r>
              <w:rPr>
                <w:spacing w:val="-4"/>
                <w:sz w:val="18"/>
                <w:szCs w:val="18"/>
              </w:rPr>
              <w:t xml:space="preserve">Trigger out offset + length (x) exceed limit of </w:t>
            </w:r>
            <w:r w:rsidRPr="00950690">
              <w:rPr>
                <w:b/>
                <w:i/>
                <w:spacing w:val="-4"/>
                <w:sz w:val="18"/>
                <w:szCs w:val="18"/>
              </w:rPr>
              <w:t>20ms</w:t>
            </w:r>
          </w:p>
        </w:tc>
        <w:tc>
          <w:tcPr>
            <w:tcW w:w="3545" w:type="dxa"/>
            <w:tcBorders>
              <w:top w:val="single" w:sz="2" w:space="0" w:color="000000"/>
              <w:left w:val="single" w:sz="2" w:space="0" w:color="000000"/>
              <w:bottom w:val="single" w:sz="2" w:space="0" w:color="000000"/>
              <w:right w:val="single" w:sz="2" w:space="0" w:color="000000"/>
            </w:tcBorders>
            <w:hideMark/>
          </w:tcPr>
          <w:p w:rsidR="00950690" w:rsidRDefault="00950690" w:rsidP="0010445B">
            <w:pPr>
              <w:pStyle w:val="Table"/>
              <w:ind w:left="-17"/>
              <w:rPr>
                <w:spacing w:val="-4"/>
                <w:sz w:val="18"/>
                <w:szCs w:val="18"/>
              </w:rPr>
            </w:pPr>
            <w:r>
              <w:rPr>
                <w:spacing w:val="-4"/>
                <w:sz w:val="18"/>
                <w:szCs w:val="18"/>
              </w:rPr>
              <w:t xml:space="preserve">An unsupported value was received for trigger setup. </w:t>
            </w:r>
          </w:p>
        </w:tc>
        <w:tc>
          <w:tcPr>
            <w:tcW w:w="2188" w:type="dxa"/>
            <w:tcBorders>
              <w:top w:val="single" w:sz="2" w:space="0" w:color="000000"/>
              <w:left w:val="single" w:sz="2" w:space="0" w:color="000000"/>
              <w:bottom w:val="single" w:sz="2" w:space="0" w:color="000000"/>
              <w:right w:val="single" w:sz="2" w:space="0" w:color="000000"/>
            </w:tcBorders>
            <w:hideMark/>
          </w:tcPr>
          <w:p w:rsidR="00950690" w:rsidRDefault="00950690" w:rsidP="0010445B">
            <w:pPr>
              <w:pStyle w:val="Table"/>
              <w:ind w:left="-17"/>
              <w:rPr>
                <w:spacing w:val="-4"/>
                <w:sz w:val="18"/>
                <w:szCs w:val="18"/>
              </w:rPr>
            </w:pPr>
            <w:r>
              <w:rPr>
                <w:spacing w:val="-4"/>
                <w:sz w:val="18"/>
                <w:szCs w:val="18"/>
              </w:rPr>
              <w:t>Check settings in user interface.</w:t>
            </w:r>
          </w:p>
        </w:tc>
        <w:tc>
          <w:tcPr>
            <w:tcW w:w="1721" w:type="dxa"/>
            <w:tcBorders>
              <w:top w:val="single" w:sz="2" w:space="0" w:color="000000"/>
              <w:left w:val="single" w:sz="2" w:space="0" w:color="000000"/>
              <w:bottom w:val="single" w:sz="2" w:space="0" w:color="000000"/>
              <w:right w:val="single" w:sz="2" w:space="0" w:color="000000"/>
            </w:tcBorders>
            <w:hideMark/>
          </w:tcPr>
          <w:p w:rsidR="00950690" w:rsidRDefault="00950690" w:rsidP="0010445B">
            <w:pPr>
              <w:pStyle w:val="Table"/>
              <w:ind w:left="-17"/>
              <w:rPr>
                <w:spacing w:val="-4"/>
                <w:sz w:val="18"/>
                <w:szCs w:val="18"/>
              </w:rPr>
            </w:pPr>
            <w:r>
              <w:rPr>
                <w:spacing w:val="-4"/>
                <w:sz w:val="18"/>
                <w:szCs w:val="18"/>
              </w:rPr>
              <w:t>External Trigger</w:t>
            </w:r>
          </w:p>
        </w:tc>
      </w:tr>
    </w:tbl>
    <w:p w:rsidR="00810300" w:rsidRDefault="00810300">
      <w:pPr>
        <w:contextualSpacing/>
      </w:pPr>
    </w:p>
    <w:p w:rsidR="00950690" w:rsidRDefault="00950690">
      <w:pPr>
        <w:contextualSpacing/>
      </w:pPr>
    </w:p>
    <w:p w:rsidR="00950690" w:rsidRDefault="00950690">
      <w:pPr>
        <w:contextualSpacing/>
      </w:pPr>
    </w:p>
    <w:p w:rsidR="00950690" w:rsidRDefault="00950690">
      <w:pPr>
        <w:contextualSpacing/>
      </w:pPr>
    </w:p>
    <w:p w:rsidR="00950690" w:rsidRDefault="00950690">
      <w:pPr>
        <w:contextualSpacing/>
      </w:pPr>
    </w:p>
    <w:p w:rsidR="00950690" w:rsidRDefault="00950690">
      <w:pPr>
        <w:contextualSpacing/>
      </w:pPr>
    </w:p>
    <w:p w:rsidR="00950690" w:rsidRDefault="00950690">
      <w:pPr>
        <w:contextualSpacing/>
      </w:pPr>
    </w:p>
    <w:p w:rsidR="00950690" w:rsidRDefault="00950690">
      <w:pPr>
        <w:contextualSpacing/>
      </w:pPr>
    </w:p>
    <w:sectPr w:rsidR="0095069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5FD1" w:rsidRDefault="00D35FD1" w:rsidP="00950690">
      <w:pPr>
        <w:spacing w:after="0" w:line="240" w:lineRule="auto"/>
      </w:pPr>
      <w:r>
        <w:separator/>
      </w:r>
    </w:p>
  </w:endnote>
  <w:endnote w:type="continuationSeparator" w:id="0">
    <w:p w:rsidR="00D35FD1" w:rsidRDefault="00D35FD1" w:rsidP="009506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5FD1" w:rsidRDefault="00D35FD1" w:rsidP="00950690">
      <w:pPr>
        <w:spacing w:after="0" w:line="240" w:lineRule="auto"/>
      </w:pPr>
      <w:r>
        <w:separator/>
      </w:r>
    </w:p>
  </w:footnote>
  <w:footnote w:type="continuationSeparator" w:id="0">
    <w:p w:rsidR="00D35FD1" w:rsidRDefault="00D35FD1" w:rsidP="00950690">
      <w:pPr>
        <w:spacing w:after="0" w:line="240" w:lineRule="auto"/>
      </w:pPr>
      <w:r>
        <w:continuationSeparator/>
      </w:r>
    </w:p>
  </w:footnote>
  <w:footnote w:id="1">
    <w:p w:rsidR="00950690" w:rsidRPr="006B43C1" w:rsidRDefault="00950690" w:rsidP="00950690">
      <w:pPr>
        <w:pStyle w:val="FootnoteText"/>
      </w:pPr>
      <w:r w:rsidRPr="006B43C1">
        <w:rPr>
          <w:rStyle w:val="FootnoteReference"/>
        </w:rPr>
        <w:footnoteRef/>
      </w:r>
      <w:r w:rsidRPr="006B43C1">
        <w:t xml:space="preserve"> Measured at the BNC terminals.</w:t>
      </w:r>
    </w:p>
  </w:footnote>
  <w:footnote w:id="2">
    <w:p w:rsidR="00950690" w:rsidRPr="006B43C1" w:rsidRDefault="00950690" w:rsidP="00950690">
      <w:pPr>
        <w:pStyle w:val="FootnoteText"/>
      </w:pPr>
      <w:r w:rsidRPr="006B43C1">
        <w:rPr>
          <w:rStyle w:val="FootnoteReference"/>
        </w:rPr>
        <w:footnoteRef/>
      </w:r>
      <w:r w:rsidRPr="006B43C1">
        <w:t xml:space="preserve"> Voltages beyond maximum limits may cause permanent damage to the input.</w:t>
      </w:r>
    </w:p>
  </w:footnote>
  <w:footnote w:id="3">
    <w:p w:rsidR="00950690" w:rsidRPr="006B43C1" w:rsidRDefault="00950690" w:rsidP="00950690">
      <w:pPr>
        <w:pStyle w:val="FootnoteText"/>
      </w:pPr>
      <w:r w:rsidRPr="006B43C1">
        <w:rPr>
          <w:rStyle w:val="FootnoteReference"/>
        </w:rPr>
        <w:footnoteRef/>
      </w:r>
      <w:r w:rsidRPr="006B43C1">
        <w:t xml:space="preserve"> Completely </w:t>
      </w:r>
      <w:r>
        <w:t>u</w:t>
      </w:r>
      <w:r w:rsidRPr="006B43C1">
        <w:t>nconnected input guaranteed to be</w:t>
      </w:r>
      <w:r>
        <w:t xml:space="preserve"> </w:t>
      </w:r>
      <w:r w:rsidRPr="006B43C1">
        <w:t>low</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B73CD5"/>
    <w:multiLevelType w:val="multilevel"/>
    <w:tmpl w:val="BE50A230"/>
    <w:lvl w:ilvl="0">
      <w:start w:val="1"/>
      <w:numFmt w:val="upperLetter"/>
      <w:pStyle w:val="AppendixHeading"/>
      <w:lvlText w:val="Appendix %1"/>
      <w:lvlJc w:val="left"/>
      <w:pPr>
        <w:tabs>
          <w:tab w:val="num" w:pos="1418"/>
        </w:tabs>
        <w:ind w:left="0" w:hanging="720"/>
      </w:pPr>
      <w:rPr>
        <w:rFonts w:cs="Times New Roman" w:hint="default"/>
      </w:rPr>
    </w:lvl>
    <w:lvl w:ilvl="1">
      <w:start w:val="1"/>
      <w:numFmt w:val="decimal"/>
      <w:pStyle w:val="AppendixHeading2"/>
      <w:lvlText w:val="%1.%2"/>
      <w:lvlJc w:val="left"/>
      <w:pPr>
        <w:tabs>
          <w:tab w:val="num" w:pos="0"/>
        </w:tabs>
        <w:ind w:left="0" w:hanging="720"/>
      </w:pPr>
      <w:rPr>
        <w:rFonts w:cs="Times New Roman" w:hint="default"/>
      </w:rPr>
    </w:lvl>
    <w:lvl w:ilvl="2">
      <w:start w:val="1"/>
      <w:numFmt w:val="decimal"/>
      <w:pStyle w:val="AppendixHeading3"/>
      <w:lvlText w:val="%1.%2.%3"/>
      <w:lvlJc w:val="left"/>
      <w:pPr>
        <w:tabs>
          <w:tab w:val="num" w:pos="2455"/>
        </w:tabs>
        <w:ind w:left="2455" w:hanging="1083"/>
      </w:pPr>
      <w:rPr>
        <w:rFonts w:cs="Times New Roman" w:hint="default"/>
      </w:rPr>
    </w:lvl>
    <w:lvl w:ilvl="3">
      <w:start w:val="1"/>
      <w:numFmt w:val="decimal"/>
      <w:lvlText w:val="%1.%2.%3.%4"/>
      <w:lvlJc w:val="left"/>
      <w:pPr>
        <w:tabs>
          <w:tab w:val="num" w:pos="2455"/>
        </w:tabs>
        <w:ind w:left="2455" w:hanging="1083"/>
      </w:pPr>
      <w:rPr>
        <w:rFonts w:cs="Times New Roman" w:hint="default"/>
      </w:rPr>
    </w:lvl>
    <w:lvl w:ilvl="4">
      <w:start w:val="1"/>
      <w:numFmt w:val="decimal"/>
      <w:lvlText w:val="%1.%2.%3.%4.%5"/>
      <w:lvlJc w:val="left"/>
      <w:pPr>
        <w:tabs>
          <w:tab w:val="num" w:pos="1372"/>
        </w:tabs>
        <w:ind w:left="1372" w:firstLine="0"/>
      </w:pPr>
      <w:rPr>
        <w:rFonts w:cs="Times New Roman" w:hint="default"/>
      </w:rPr>
    </w:lvl>
    <w:lvl w:ilvl="5">
      <w:start w:val="1"/>
      <w:numFmt w:val="decimal"/>
      <w:lvlText w:val="%1.%2.%3.%4.%5.%6"/>
      <w:lvlJc w:val="left"/>
      <w:pPr>
        <w:tabs>
          <w:tab w:val="num" w:pos="1372"/>
        </w:tabs>
        <w:ind w:left="1372" w:firstLine="0"/>
      </w:pPr>
      <w:rPr>
        <w:rFonts w:cs="Times New Roman" w:hint="default"/>
      </w:rPr>
    </w:lvl>
    <w:lvl w:ilvl="6">
      <w:start w:val="1"/>
      <w:numFmt w:val="decimal"/>
      <w:lvlText w:val="%1.%2.%3.%4.%5.%6.%7"/>
      <w:lvlJc w:val="left"/>
      <w:pPr>
        <w:tabs>
          <w:tab w:val="num" w:pos="1372"/>
        </w:tabs>
        <w:ind w:left="1372" w:firstLine="0"/>
      </w:pPr>
      <w:rPr>
        <w:rFonts w:cs="Times New Roman" w:hint="default"/>
      </w:rPr>
    </w:lvl>
    <w:lvl w:ilvl="7">
      <w:start w:val="1"/>
      <w:numFmt w:val="decimal"/>
      <w:lvlText w:val="%1.%2.%3.%4.%5.%6.%7.%8"/>
      <w:lvlJc w:val="left"/>
      <w:pPr>
        <w:tabs>
          <w:tab w:val="num" w:pos="1372"/>
        </w:tabs>
        <w:ind w:left="1372" w:firstLine="0"/>
      </w:pPr>
      <w:rPr>
        <w:rFonts w:cs="Times New Roman" w:hint="default"/>
      </w:rPr>
    </w:lvl>
    <w:lvl w:ilvl="8">
      <w:start w:val="1"/>
      <w:numFmt w:val="decimal"/>
      <w:lvlText w:val="%1.%2.%3.%4.%5.%6.%7.%8.%9"/>
      <w:lvlJc w:val="left"/>
      <w:pPr>
        <w:tabs>
          <w:tab w:val="num" w:pos="1372"/>
        </w:tabs>
        <w:ind w:left="1372" w:firstLine="0"/>
      </w:pPr>
      <w:rPr>
        <w:rFonts w:cs="Times New Roman" w:hint="default"/>
      </w:rPr>
    </w:lvl>
  </w:abstractNum>
  <w:abstractNum w:abstractNumId="1" w15:restartNumberingAfterBreak="0">
    <w:nsid w:val="6A614DB8"/>
    <w:multiLevelType w:val="hybridMultilevel"/>
    <w:tmpl w:val="4B30D440"/>
    <w:lvl w:ilvl="0" w:tplc="F5DCA6B8">
      <w:start w:val="1"/>
      <w:numFmt w:val="bullet"/>
      <w:pStyle w:val="BulletList1"/>
      <w:lvlText w:val=""/>
      <w:lvlJc w:val="left"/>
      <w:pPr>
        <w:tabs>
          <w:tab w:val="num" w:pos="1008"/>
        </w:tabs>
        <w:ind w:left="1008" w:hanging="288"/>
      </w:pPr>
      <w:rPr>
        <w:rFonts w:ascii="Symbol" w:hAnsi="Symbol" w:hint="default"/>
        <w:color w:val="auto"/>
      </w:rPr>
    </w:lvl>
    <w:lvl w:ilvl="1" w:tplc="6E228B9C">
      <w:start w:val="1"/>
      <w:numFmt w:val="bullet"/>
      <w:lvlText w:val="o"/>
      <w:lvlJc w:val="left"/>
      <w:pPr>
        <w:tabs>
          <w:tab w:val="num" w:pos="1800"/>
        </w:tabs>
        <w:ind w:left="1800" w:hanging="360"/>
      </w:pPr>
      <w:rPr>
        <w:rFonts w:ascii="Courier New" w:hAnsi="Courier New" w:hint="default"/>
      </w:rPr>
    </w:lvl>
    <w:lvl w:ilvl="2" w:tplc="47FA9DC0">
      <w:start w:val="1"/>
      <w:numFmt w:val="bullet"/>
      <w:lvlText w:val=""/>
      <w:lvlJc w:val="left"/>
      <w:pPr>
        <w:tabs>
          <w:tab w:val="num" w:pos="2520"/>
        </w:tabs>
        <w:ind w:left="2520" w:hanging="360"/>
      </w:pPr>
      <w:rPr>
        <w:rFonts w:ascii="Wingdings" w:hAnsi="Wingdings" w:hint="default"/>
      </w:rPr>
    </w:lvl>
    <w:lvl w:ilvl="3" w:tplc="52CA7C5A">
      <w:start w:val="1"/>
      <w:numFmt w:val="bullet"/>
      <w:lvlText w:val=""/>
      <w:lvlJc w:val="left"/>
      <w:pPr>
        <w:tabs>
          <w:tab w:val="num" w:pos="3240"/>
        </w:tabs>
        <w:ind w:left="3240" w:hanging="360"/>
      </w:pPr>
      <w:rPr>
        <w:rFonts w:ascii="Symbol" w:hAnsi="Symbol" w:hint="default"/>
      </w:rPr>
    </w:lvl>
    <w:lvl w:ilvl="4" w:tplc="13202FBE" w:tentative="1">
      <w:start w:val="1"/>
      <w:numFmt w:val="bullet"/>
      <w:lvlText w:val="o"/>
      <w:lvlJc w:val="left"/>
      <w:pPr>
        <w:tabs>
          <w:tab w:val="num" w:pos="3960"/>
        </w:tabs>
        <w:ind w:left="3960" w:hanging="360"/>
      </w:pPr>
      <w:rPr>
        <w:rFonts w:ascii="Courier New" w:hAnsi="Courier New" w:hint="default"/>
      </w:rPr>
    </w:lvl>
    <w:lvl w:ilvl="5" w:tplc="F1D2CAA6" w:tentative="1">
      <w:start w:val="1"/>
      <w:numFmt w:val="bullet"/>
      <w:lvlText w:val=""/>
      <w:lvlJc w:val="left"/>
      <w:pPr>
        <w:tabs>
          <w:tab w:val="num" w:pos="4680"/>
        </w:tabs>
        <w:ind w:left="4680" w:hanging="360"/>
      </w:pPr>
      <w:rPr>
        <w:rFonts w:ascii="Wingdings" w:hAnsi="Wingdings" w:hint="default"/>
      </w:rPr>
    </w:lvl>
    <w:lvl w:ilvl="6" w:tplc="C06C6212" w:tentative="1">
      <w:start w:val="1"/>
      <w:numFmt w:val="bullet"/>
      <w:lvlText w:val=""/>
      <w:lvlJc w:val="left"/>
      <w:pPr>
        <w:tabs>
          <w:tab w:val="num" w:pos="5400"/>
        </w:tabs>
        <w:ind w:left="5400" w:hanging="360"/>
      </w:pPr>
      <w:rPr>
        <w:rFonts w:ascii="Symbol" w:hAnsi="Symbol" w:hint="default"/>
      </w:rPr>
    </w:lvl>
    <w:lvl w:ilvl="7" w:tplc="AAAABABA" w:tentative="1">
      <w:start w:val="1"/>
      <w:numFmt w:val="bullet"/>
      <w:lvlText w:val="o"/>
      <w:lvlJc w:val="left"/>
      <w:pPr>
        <w:tabs>
          <w:tab w:val="num" w:pos="6120"/>
        </w:tabs>
        <w:ind w:left="6120" w:hanging="360"/>
      </w:pPr>
      <w:rPr>
        <w:rFonts w:ascii="Courier New" w:hAnsi="Courier New" w:hint="default"/>
      </w:rPr>
    </w:lvl>
    <w:lvl w:ilvl="8" w:tplc="F084A06C" w:tentative="1">
      <w:start w:val="1"/>
      <w:numFmt w:val="bullet"/>
      <w:lvlText w:val=""/>
      <w:lvlJc w:val="left"/>
      <w:pPr>
        <w:tabs>
          <w:tab w:val="num" w:pos="6840"/>
        </w:tabs>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300"/>
    <w:rsid w:val="0020523B"/>
    <w:rsid w:val="00810300"/>
    <w:rsid w:val="00816B74"/>
    <w:rsid w:val="00884AB4"/>
    <w:rsid w:val="00950690"/>
    <w:rsid w:val="00B103BA"/>
    <w:rsid w:val="00D35FD1"/>
    <w:rsid w:val="00F922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3FAD77D5-7572-453E-AE41-C8DF9D13C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95069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5069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10300"/>
    <w:pPr>
      <w:autoSpaceDE w:val="0"/>
      <w:autoSpaceDN w:val="0"/>
      <w:adjustRightInd w:val="0"/>
      <w:spacing w:after="0" w:line="240" w:lineRule="auto"/>
    </w:pPr>
    <w:rPr>
      <w:rFonts w:ascii="Calibri" w:hAnsi="Calibri" w:cs="Calibri"/>
      <w:color w:val="000000"/>
      <w:sz w:val="24"/>
      <w:szCs w:val="24"/>
    </w:rPr>
  </w:style>
  <w:style w:type="paragraph" w:styleId="Caption">
    <w:name w:val="caption"/>
    <w:basedOn w:val="Normal"/>
    <w:next w:val="Normal"/>
    <w:link w:val="CaptionChar"/>
    <w:qFormat/>
    <w:rsid w:val="00950690"/>
    <w:pPr>
      <w:spacing w:before="120" w:after="120" w:line="240" w:lineRule="auto"/>
      <w:jc w:val="center"/>
    </w:pPr>
    <w:rPr>
      <w:rFonts w:ascii="Arial" w:eastAsia="Times New Roman" w:hAnsi="Arial" w:cs="Times New Roman"/>
      <w:bCs/>
      <w:sz w:val="18"/>
      <w:szCs w:val="20"/>
    </w:rPr>
  </w:style>
  <w:style w:type="character" w:customStyle="1" w:styleId="CaptionChar">
    <w:name w:val="Caption Char"/>
    <w:link w:val="Caption"/>
    <w:rsid w:val="00950690"/>
    <w:rPr>
      <w:rFonts w:ascii="Arial" w:eastAsia="Times New Roman" w:hAnsi="Arial" w:cs="Times New Roman"/>
      <w:bCs/>
      <w:sz w:val="18"/>
      <w:szCs w:val="20"/>
    </w:rPr>
  </w:style>
  <w:style w:type="paragraph" w:customStyle="1" w:styleId="BulletList1">
    <w:name w:val="BulletList1"/>
    <w:basedOn w:val="Normal"/>
    <w:qFormat/>
    <w:rsid w:val="00950690"/>
    <w:pPr>
      <w:numPr>
        <w:numId w:val="1"/>
      </w:numPr>
      <w:spacing w:after="120" w:line="240" w:lineRule="auto"/>
    </w:pPr>
    <w:rPr>
      <w:rFonts w:ascii="Arial" w:eastAsia="Times New Roman" w:hAnsi="Arial" w:cs="Times New Roman"/>
      <w:sz w:val="20"/>
    </w:rPr>
  </w:style>
  <w:style w:type="paragraph" w:customStyle="1" w:styleId="AppendixHeading">
    <w:name w:val="Appendix Heading"/>
    <w:basedOn w:val="Normal"/>
    <w:next w:val="Normal"/>
    <w:qFormat/>
    <w:rsid w:val="00950690"/>
    <w:pPr>
      <w:keepNext/>
      <w:numPr>
        <w:numId w:val="2"/>
      </w:numPr>
      <w:tabs>
        <w:tab w:val="clear" w:pos="1418"/>
        <w:tab w:val="left" w:pos="1276"/>
      </w:tabs>
      <w:spacing w:after="480" w:line="240" w:lineRule="auto"/>
      <w:outlineLvl w:val="0"/>
    </w:pPr>
    <w:rPr>
      <w:rFonts w:ascii="Arial" w:eastAsia="Times New Roman" w:hAnsi="Arial" w:cs="Times New Roman"/>
      <w:b/>
      <w:caps/>
      <w:sz w:val="26"/>
      <w:szCs w:val="26"/>
    </w:rPr>
  </w:style>
  <w:style w:type="paragraph" w:customStyle="1" w:styleId="AppendixHeading2">
    <w:name w:val="Appendix Heading 2"/>
    <w:basedOn w:val="Heading2"/>
    <w:next w:val="Normal"/>
    <w:qFormat/>
    <w:rsid w:val="00950690"/>
    <w:pPr>
      <w:keepLines w:val="0"/>
      <w:numPr>
        <w:ilvl w:val="1"/>
        <w:numId w:val="2"/>
      </w:numPr>
      <w:tabs>
        <w:tab w:val="clear" w:pos="0"/>
        <w:tab w:val="num" w:pos="360"/>
      </w:tabs>
      <w:spacing w:before="0" w:after="120" w:line="240" w:lineRule="auto"/>
      <w:ind w:firstLine="0"/>
    </w:pPr>
    <w:rPr>
      <w:rFonts w:ascii="Arial" w:eastAsia="Times New Roman" w:hAnsi="Arial" w:cs="Times New Roman"/>
      <w:b/>
      <w:bCs/>
      <w:iCs/>
      <w:color w:val="auto"/>
      <w:sz w:val="24"/>
      <w:szCs w:val="28"/>
    </w:rPr>
  </w:style>
  <w:style w:type="paragraph" w:customStyle="1" w:styleId="Table">
    <w:name w:val="Table"/>
    <w:basedOn w:val="Normal"/>
    <w:qFormat/>
    <w:rsid w:val="00950690"/>
    <w:pPr>
      <w:spacing w:before="60" w:after="60" w:line="240" w:lineRule="auto"/>
    </w:pPr>
    <w:rPr>
      <w:rFonts w:ascii="Arial" w:eastAsia="Times New Roman" w:hAnsi="Arial" w:cs="Times New Roman"/>
      <w:sz w:val="20"/>
    </w:rPr>
  </w:style>
  <w:style w:type="paragraph" w:styleId="FootnoteText">
    <w:name w:val="footnote text"/>
    <w:basedOn w:val="Normal"/>
    <w:link w:val="FootnoteTextChar"/>
    <w:uiPriority w:val="99"/>
    <w:unhideWhenUsed/>
    <w:rsid w:val="00950690"/>
    <w:pPr>
      <w:spacing w:after="0" w:line="240" w:lineRule="auto"/>
    </w:pPr>
    <w:rPr>
      <w:rFonts w:ascii="Arial" w:eastAsia="Times New Roman" w:hAnsi="Arial" w:cs="Times New Roman"/>
      <w:sz w:val="18"/>
      <w:szCs w:val="20"/>
      <w:lang w:val="en-GB" w:eastAsia="sv-SE"/>
    </w:rPr>
  </w:style>
  <w:style w:type="character" w:customStyle="1" w:styleId="FootnoteTextChar">
    <w:name w:val="Footnote Text Char"/>
    <w:basedOn w:val="DefaultParagraphFont"/>
    <w:link w:val="FootnoteText"/>
    <w:uiPriority w:val="99"/>
    <w:rsid w:val="00950690"/>
    <w:rPr>
      <w:rFonts w:ascii="Arial" w:eastAsia="Times New Roman" w:hAnsi="Arial" w:cs="Times New Roman"/>
      <w:sz w:val="18"/>
      <w:szCs w:val="20"/>
      <w:lang w:val="en-GB" w:eastAsia="sv-SE"/>
    </w:rPr>
  </w:style>
  <w:style w:type="character" w:styleId="FootnoteReference">
    <w:name w:val="footnote reference"/>
    <w:basedOn w:val="DefaultParagraphFont"/>
    <w:uiPriority w:val="99"/>
    <w:rsid w:val="00950690"/>
    <w:rPr>
      <w:vertAlign w:val="superscript"/>
    </w:rPr>
  </w:style>
  <w:style w:type="paragraph" w:customStyle="1" w:styleId="AppendixHeading3">
    <w:name w:val="Appendix Heading 3"/>
    <w:basedOn w:val="Heading3"/>
    <w:next w:val="Normal"/>
    <w:qFormat/>
    <w:rsid w:val="00950690"/>
    <w:pPr>
      <w:keepLines w:val="0"/>
      <w:widowControl w:val="0"/>
      <w:numPr>
        <w:ilvl w:val="2"/>
        <w:numId w:val="2"/>
      </w:numPr>
      <w:tabs>
        <w:tab w:val="clear" w:pos="2455"/>
        <w:tab w:val="num" w:pos="0"/>
        <w:tab w:val="num" w:pos="360"/>
      </w:tabs>
      <w:autoSpaceDE w:val="0"/>
      <w:autoSpaceDN w:val="0"/>
      <w:adjustRightInd w:val="0"/>
      <w:spacing w:before="0" w:after="120" w:line="240" w:lineRule="auto"/>
      <w:ind w:left="0" w:hanging="720"/>
    </w:pPr>
    <w:rPr>
      <w:rFonts w:ascii="Arial" w:eastAsia="Times New Roman" w:hAnsi="Arial" w:cs="Arial"/>
      <w:b/>
      <w:bCs/>
      <w:color w:val="auto"/>
      <w:sz w:val="22"/>
      <w:szCs w:val="26"/>
    </w:rPr>
  </w:style>
  <w:style w:type="character" w:customStyle="1" w:styleId="Heading2Char">
    <w:name w:val="Heading 2 Char"/>
    <w:basedOn w:val="DefaultParagraphFont"/>
    <w:link w:val="Heading2"/>
    <w:uiPriority w:val="9"/>
    <w:semiHidden/>
    <w:rsid w:val="0095069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950690"/>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32.vsd"/><Relationship Id="rId5" Type="http://schemas.openxmlformats.org/officeDocument/2006/relationships/footnotes" Target="footnotes.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6</Pages>
  <Words>901</Words>
  <Characters>5137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6026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Chad Kecy</dc:creator>
  <cp:keywords/>
  <dc:description/>
  <cp:lastModifiedBy>Chad Kecy</cp:lastModifiedBy>
  <cp:revision>3</cp:revision>
  <dcterms:created xsi:type="dcterms:W3CDTF">2024-10-21T17:11:00Z</dcterms:created>
  <dcterms:modified xsi:type="dcterms:W3CDTF">2024-12-18T22:44:00Z</dcterms:modified>
</cp:coreProperties>
</file>