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rPr/>
      </w:pPr>
      <w:r w:rsidDel="00000000" w:rsidR="00000000" w:rsidRPr="00000000">
        <w:rPr/>
        <w:drawing>
          <wp:inline distB="114300" distT="114300" distL="114300" distR="114300">
            <wp:extent cx="6062663" cy="3781854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62663" cy="37818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Pressure apparatus schematics from literature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Gross and Jaenicke 1994 Fig. 1B: T-path fluoro cell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6081713" cy="3550091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81713" cy="35500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Mustafa, Moon and Hochachka 1971 Fig. 1: 5 cc 2-window cell with cleanout</w:t>
        <w:br w:type="textWrapping"/>
        <w:t xml:space="preserve">NOTES: 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This is the cell Erik has.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It undergoes 12% expansion of path length (from 10 to 12 mm) at P &gt; 2000 PSI.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938838" cy="682084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8838" cy="68208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3. See Paladini and Weber 1981 for detailed drawings of a 2-4-window sealed-cuvette cell similar to what’s offered by ISS.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