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E23" w:rsidRDefault="00F42E23" w:rsidP="00F42E23">
      <w:pPr>
        <w:numPr>
          <w:ilvl w:val="0"/>
          <w:numId w:val="1"/>
        </w:numPr>
        <w:spacing w:before="100" w:beforeAutospacing="1" w:after="100" w:afterAutospacing="1"/>
        <w:rPr>
          <w:rFonts w:eastAsia="Times New Roman"/>
        </w:rPr>
      </w:pPr>
      <w:r>
        <w:rPr>
          <w:rFonts w:ascii="Calibri" w:eastAsia="Times New Roman" w:hAnsi="Calibri"/>
          <w:sz w:val="22"/>
          <w:szCs w:val="22"/>
        </w:rPr>
        <w:t xml:space="preserve">Why are the Amperima-Peniagone on dive 232 less clumped?  Review tapes- are there differences in the habitat between this dive and the other two? </w:t>
      </w:r>
    </w:p>
    <w:p w:rsidR="00F42E23" w:rsidRPr="000247C2" w:rsidRDefault="00F42E23" w:rsidP="00F42E23">
      <w:pPr>
        <w:spacing w:before="100" w:beforeAutospacing="1" w:after="100" w:afterAutospacing="1"/>
        <w:ind w:left="720"/>
        <w:rPr>
          <w:rFonts w:eastAsia="Times New Roman"/>
          <w:color w:val="5F497A" w:themeColor="accent4" w:themeShade="BF"/>
        </w:rPr>
      </w:pPr>
      <w:r w:rsidRPr="000247C2">
        <w:rPr>
          <w:rFonts w:eastAsia="Times New Roman"/>
          <w:color w:val="5F497A" w:themeColor="accent4" w:themeShade="BF"/>
        </w:rPr>
        <w:t>The habitat is the same- the same animals and deposits on the sea floor are present in all three dives with little to no variation between dives 230-231 and dive 232.</w:t>
      </w:r>
      <w:r w:rsidR="000247C2">
        <w:rPr>
          <w:rFonts w:eastAsia="Times New Roman"/>
          <w:color w:val="5F497A" w:themeColor="accent4" w:themeShade="BF"/>
        </w:rPr>
        <w:t xml:space="preserve"> This would most likely mean that the habitat is not the reason for the lack of aggregations in Dive 232.</w:t>
      </w:r>
    </w:p>
    <w:p w:rsidR="00CE2A42" w:rsidRPr="00312FB0" w:rsidRDefault="00F42E23" w:rsidP="00CE2A42">
      <w:pPr>
        <w:numPr>
          <w:ilvl w:val="0"/>
          <w:numId w:val="1"/>
        </w:numPr>
        <w:spacing w:before="100" w:beforeAutospacing="1" w:after="100" w:afterAutospacing="1"/>
        <w:rPr>
          <w:rFonts w:eastAsia="Times New Roman"/>
        </w:rPr>
      </w:pPr>
      <w:r>
        <w:rPr>
          <w:rFonts w:ascii="Calibri" w:eastAsia="Times New Roman" w:hAnsi="Calibri"/>
          <w:sz w:val="22"/>
          <w:szCs w:val="22"/>
        </w:rPr>
        <w:t xml:space="preserve">For each dive (separately), calculate how far apart the big patches are from each other.  Do the bins next to the patch have high or low abundances? </w:t>
      </w:r>
      <w:r w:rsidR="00312FB0">
        <w:rPr>
          <w:rFonts w:ascii="Calibri" w:eastAsia="Times New Roman" w:hAnsi="Calibri"/>
          <w:sz w:val="22"/>
          <w:szCs w:val="22"/>
        </w:rPr>
        <w:t xml:space="preserve"> </w:t>
      </w:r>
    </w:p>
    <w:p w:rsidR="00312FB0" w:rsidRPr="000247C2" w:rsidRDefault="00312FB0" w:rsidP="00312FB0">
      <w:pPr>
        <w:spacing w:before="100" w:beforeAutospacing="1" w:after="100" w:afterAutospacing="1"/>
        <w:ind w:left="720"/>
        <w:rPr>
          <w:rFonts w:eastAsia="Times New Roman"/>
          <w:color w:val="5F497A" w:themeColor="accent4" w:themeShade="BF"/>
        </w:rPr>
      </w:pPr>
      <w:r w:rsidRPr="000247C2">
        <w:rPr>
          <w:rFonts w:ascii="Calibri" w:eastAsia="Times New Roman" w:hAnsi="Calibri"/>
          <w:color w:val="5F497A" w:themeColor="accent4" w:themeShade="BF"/>
          <w:sz w:val="22"/>
          <w:szCs w:val="22"/>
        </w:rPr>
        <w:t>There are some rather large gaps between some of the aggregations, but there are some varying sizes in the distances- the largest being 750 and the smallest being 0. Also on average, the bins on either side of the large bins have smaller aggregations, but are not necessarily arranged in descending order. I’ve included the numbers here so you can see them.</w:t>
      </w:r>
    </w:p>
    <w:tbl>
      <w:tblPr>
        <w:tblW w:w="8280" w:type="dxa"/>
        <w:tblInd w:w="-162" w:type="dxa"/>
        <w:tblLook w:val="04A0"/>
      </w:tblPr>
      <w:tblGrid>
        <w:gridCol w:w="1080"/>
        <w:gridCol w:w="2520"/>
        <w:gridCol w:w="1890"/>
        <w:gridCol w:w="1005"/>
        <w:gridCol w:w="1785"/>
      </w:tblGrid>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2520" w:type="dxa"/>
            <w:tcBorders>
              <w:top w:val="nil"/>
              <w:left w:val="nil"/>
              <w:bottom w:val="nil"/>
              <w:right w:val="nil"/>
            </w:tcBorders>
            <w:shd w:val="clear" w:color="auto" w:fill="auto"/>
            <w:noWrap/>
            <w:vAlign w:val="bottom"/>
            <w:hideMark/>
          </w:tcPr>
          <w:p w:rsidR="00312FB0" w:rsidRPr="00312FB0" w:rsidRDefault="00272900" w:rsidP="00312FB0">
            <w:pPr>
              <w:rPr>
                <w:rFonts w:ascii="Calibri" w:eastAsia="Times New Roman" w:hAnsi="Calibri"/>
                <w:b/>
                <w:color w:val="000000"/>
                <w:sz w:val="22"/>
                <w:szCs w:val="22"/>
              </w:rPr>
            </w:pPr>
            <w:r>
              <w:rPr>
                <w:rFonts w:ascii="Calibri" w:eastAsia="Times New Roman" w:hAnsi="Calibri"/>
                <w:b/>
                <w:color w:val="000000"/>
                <w:sz w:val="22"/>
                <w:szCs w:val="22"/>
              </w:rPr>
              <w:t>A</w:t>
            </w:r>
            <w:r w:rsidR="00312FB0" w:rsidRPr="00312FB0">
              <w:rPr>
                <w:rFonts w:ascii="Calibri" w:eastAsia="Times New Roman" w:hAnsi="Calibri"/>
                <w:b/>
                <w:color w:val="000000"/>
                <w:sz w:val="22"/>
                <w:szCs w:val="22"/>
              </w:rPr>
              <w:t>mp-peni complex</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Bin #</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Distance to Next Bin (m)</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3 Bin Sizes Before</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Bin Size</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3 Bin Sizes After</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Dive 230</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A-230-07</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5,8,5</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9,3,1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A-230-08</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240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8,5,9</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3,1,2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B-230-16</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1,5,3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2,5,1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C-230-11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1,2,7</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D-230-04</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230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3,2,3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D-230-28</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750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1,3,5</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4,1,5</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G-230-22</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3,3,6</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6,2,4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G-230-26</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530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6,2,4</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4,1,5</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I-230-02</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6,3,3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8,5,1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I-230-12</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4,5,1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17</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17,10,5</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I-230-13</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5,1,17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17</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10,5,7</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I-230-14</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1,17,17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5,7,8</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Dive 231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A-231-36</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160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5,8,4</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12</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3,6,4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B-231-17</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6,5,7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6,1,9</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B-231-20</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10,6,1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4,3,5</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C-231-04</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5,5,6</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12</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2,2,3</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C-231-16</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7,3,7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2,6,7</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C-231-20</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2,6,7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9,7,11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C-231-21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6,7,9</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7,11,4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C-231-23</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9,9,7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4,3,10</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C-231-26</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11,4,3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5,7,15</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C-231-29</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10,5,7</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15</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2520" w:type="dxa"/>
            <w:tcBorders>
              <w:top w:val="nil"/>
              <w:left w:val="nil"/>
              <w:bottom w:val="nil"/>
              <w:right w:val="nil"/>
            </w:tcBorders>
            <w:shd w:val="clear" w:color="auto" w:fill="auto"/>
            <w:noWrap/>
            <w:vAlign w:val="bottom"/>
            <w:hideMark/>
          </w:tcPr>
          <w:p w:rsidR="00272900" w:rsidRDefault="00272900" w:rsidP="00312FB0">
            <w:pPr>
              <w:jc w:val="right"/>
              <w:rPr>
                <w:rFonts w:ascii="Calibri" w:eastAsia="Times New Roman" w:hAnsi="Calibri"/>
                <w:b/>
                <w:color w:val="000000"/>
                <w:sz w:val="22"/>
                <w:szCs w:val="22"/>
              </w:rPr>
            </w:pPr>
          </w:p>
          <w:p w:rsidR="00312FB0" w:rsidRPr="00312FB0" w:rsidRDefault="00272900" w:rsidP="00312FB0">
            <w:pPr>
              <w:jc w:val="right"/>
              <w:rPr>
                <w:rFonts w:ascii="Calibri" w:eastAsia="Times New Roman" w:hAnsi="Calibri"/>
                <w:b/>
                <w:color w:val="000000"/>
                <w:sz w:val="22"/>
                <w:szCs w:val="22"/>
              </w:rPr>
            </w:pPr>
            <w:r w:rsidRPr="00312FB0">
              <w:rPr>
                <w:rFonts w:ascii="Calibri" w:eastAsia="Times New Roman" w:hAnsi="Calibri"/>
                <w:b/>
                <w:color w:val="000000"/>
                <w:sz w:val="22"/>
                <w:szCs w:val="22"/>
              </w:rPr>
              <w:lastRenderedPageBreak/>
              <w:t>Peniagone</w:t>
            </w:r>
            <w:r w:rsidR="00312FB0" w:rsidRPr="00312FB0">
              <w:rPr>
                <w:rFonts w:ascii="Calibri" w:eastAsia="Times New Roman" w:hAnsi="Calibri"/>
                <w:b/>
                <w:color w:val="000000"/>
                <w:sz w:val="22"/>
                <w:szCs w:val="22"/>
              </w:rPr>
              <w:t xml:space="preserve"> Sp. A</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b/>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b/>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b/>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lastRenderedPageBreak/>
              <w:t>Bin #</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Distance to Next Bin (m)</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3 Bin Sizes Before</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Bin Size</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3 Bin Sizes After</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Dive 230</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189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A-230-07</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1,3,2</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A-230-13</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960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5,2,2</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D-230-28</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7</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2,4,4</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D-230-31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1,7,2</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4,2,1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D-230-32</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7,2,4</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2,1,2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F-230-14</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100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2,1,2</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2,1,1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F-230-25</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1,1,2</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3,4,2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F-230-29</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2,4,3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2,2,1</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G-230-10</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6</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4,1,2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G-230-11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3,1,6</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1,2,3</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G-230-23</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510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2,2,3</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8</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2,3,2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H-230-38</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1,3,1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4</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3,1,2</w:t>
            </w: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b/>
                <w:color w:val="000000"/>
                <w:sz w:val="22"/>
                <w:szCs w:val="22"/>
              </w:rPr>
            </w:pPr>
            <w:r w:rsidRPr="00312FB0">
              <w:rPr>
                <w:rFonts w:ascii="Calibri" w:eastAsia="Times New Roman" w:hAnsi="Calibri"/>
                <w:b/>
                <w:color w:val="000000"/>
                <w:sz w:val="22"/>
                <w:szCs w:val="22"/>
              </w:rPr>
              <w:t>Dive 231</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p>
        </w:tc>
      </w:tr>
      <w:tr w:rsidR="00312FB0" w:rsidRPr="00312FB0" w:rsidTr="000247C2">
        <w:trPr>
          <w:trHeight w:val="300"/>
        </w:trPr>
        <w:tc>
          <w:tcPr>
            <w:tcW w:w="1080" w:type="dxa"/>
            <w:tcBorders>
              <w:top w:val="nil"/>
              <w:left w:val="nil"/>
              <w:bottom w:val="nil"/>
              <w:right w:val="nil"/>
            </w:tcBorders>
            <w:shd w:val="clear" w:color="auto" w:fill="auto"/>
            <w:noWrap/>
            <w:vAlign w:val="bottom"/>
            <w:hideMark/>
          </w:tcPr>
          <w:p w:rsidR="00312FB0" w:rsidRPr="00312FB0" w:rsidRDefault="00312FB0" w:rsidP="00312FB0">
            <w:pPr>
              <w:rPr>
                <w:rFonts w:ascii="Calibri" w:eastAsia="Times New Roman" w:hAnsi="Calibri"/>
                <w:color w:val="000000"/>
                <w:sz w:val="22"/>
                <w:szCs w:val="22"/>
              </w:rPr>
            </w:pPr>
            <w:r w:rsidRPr="00312FB0">
              <w:rPr>
                <w:rFonts w:ascii="Calibri" w:eastAsia="Times New Roman" w:hAnsi="Calibri"/>
                <w:color w:val="000000"/>
                <w:sz w:val="22"/>
                <w:szCs w:val="22"/>
              </w:rPr>
              <w:t>B-231-18</w:t>
            </w:r>
          </w:p>
        </w:tc>
        <w:tc>
          <w:tcPr>
            <w:tcW w:w="252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0</w:t>
            </w:r>
          </w:p>
        </w:tc>
        <w:tc>
          <w:tcPr>
            <w:tcW w:w="1890"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1,1,1</w:t>
            </w:r>
          </w:p>
        </w:tc>
        <w:tc>
          <w:tcPr>
            <w:tcW w:w="100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5</w:t>
            </w:r>
          </w:p>
        </w:tc>
        <w:tc>
          <w:tcPr>
            <w:tcW w:w="1785" w:type="dxa"/>
            <w:tcBorders>
              <w:top w:val="nil"/>
              <w:left w:val="nil"/>
              <w:bottom w:val="nil"/>
              <w:right w:val="nil"/>
            </w:tcBorders>
            <w:shd w:val="clear" w:color="auto" w:fill="auto"/>
            <w:noWrap/>
            <w:vAlign w:val="bottom"/>
            <w:hideMark/>
          </w:tcPr>
          <w:p w:rsidR="00312FB0" w:rsidRPr="00312FB0" w:rsidRDefault="00312FB0" w:rsidP="00312FB0">
            <w:pPr>
              <w:jc w:val="right"/>
              <w:rPr>
                <w:rFonts w:ascii="Calibri" w:eastAsia="Times New Roman" w:hAnsi="Calibri"/>
                <w:color w:val="000000"/>
                <w:sz w:val="22"/>
                <w:szCs w:val="22"/>
              </w:rPr>
            </w:pPr>
            <w:r w:rsidRPr="00312FB0">
              <w:rPr>
                <w:rFonts w:ascii="Calibri" w:eastAsia="Times New Roman" w:hAnsi="Calibri"/>
                <w:color w:val="000000"/>
                <w:sz w:val="22"/>
                <w:szCs w:val="22"/>
              </w:rPr>
              <w:t>2,1,1</w:t>
            </w:r>
          </w:p>
        </w:tc>
      </w:tr>
    </w:tbl>
    <w:p w:rsidR="00CE2A42" w:rsidRPr="00CE2A42" w:rsidRDefault="00CE2A42" w:rsidP="00CE2A42">
      <w:pPr>
        <w:spacing w:before="100" w:beforeAutospacing="1" w:after="100" w:afterAutospacing="1"/>
        <w:ind w:left="720"/>
        <w:rPr>
          <w:rFonts w:eastAsia="Times New Roman"/>
        </w:rPr>
      </w:pPr>
    </w:p>
    <w:p w:rsidR="000247C2" w:rsidRDefault="00F42E23" w:rsidP="000247C2">
      <w:pPr>
        <w:numPr>
          <w:ilvl w:val="0"/>
          <w:numId w:val="1"/>
        </w:numPr>
        <w:spacing w:before="100" w:beforeAutospacing="1" w:after="100" w:afterAutospacing="1"/>
        <w:rPr>
          <w:rFonts w:eastAsia="Times New Roman"/>
        </w:rPr>
      </w:pPr>
      <w:r>
        <w:rPr>
          <w:rFonts w:ascii="Calibri" w:eastAsia="Times New Roman" w:hAnsi="Calibri"/>
          <w:sz w:val="22"/>
          <w:szCs w:val="22"/>
        </w:rPr>
        <w:t>Is there any pattern with regard to clumping or the size of animals within the big patches?  Anything look different with regard to habitat (other animals, topography) within the patches?</w:t>
      </w:r>
    </w:p>
    <w:p w:rsidR="000247C2" w:rsidRPr="000247C2" w:rsidRDefault="000247C2" w:rsidP="000247C2">
      <w:pPr>
        <w:spacing w:before="100" w:beforeAutospacing="1" w:after="100" w:afterAutospacing="1"/>
        <w:ind w:left="720"/>
        <w:rPr>
          <w:rFonts w:eastAsia="Times New Roman"/>
          <w:color w:val="5F497A" w:themeColor="accent4" w:themeShade="BF"/>
        </w:rPr>
      </w:pPr>
      <w:r w:rsidRPr="000247C2">
        <w:rPr>
          <w:rFonts w:eastAsia="Times New Roman"/>
          <w:color w:val="5F497A" w:themeColor="accent4" w:themeShade="BF"/>
        </w:rPr>
        <w:t>The sizes of the animals in the aggregations are distributed just like the rest of the population. There is no pattern of more juvenile sizes in the aggregations, which would lead me to believe that if they were aggregated for breeding, it was done quite some time ago and they just haven’t completely dispersed yet; which may help to explain why there aggregations weren’t exactly large in number. The only thing I found different about the habitat where the aggregations were and the rest of the habitat, was that there were fewer urchins.</w:t>
      </w:r>
    </w:p>
    <w:p w:rsidR="00943EF5" w:rsidRDefault="00272900"/>
    <w:sectPr w:rsidR="00943EF5" w:rsidSect="00F235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53423D"/>
    <w:multiLevelType w:val="multilevel"/>
    <w:tmpl w:val="D3C828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2E23"/>
    <w:rsid w:val="000247C2"/>
    <w:rsid w:val="00272900"/>
    <w:rsid w:val="002F4065"/>
    <w:rsid w:val="00312FB0"/>
    <w:rsid w:val="008C7969"/>
    <w:rsid w:val="00CE2A42"/>
    <w:rsid w:val="00E1142E"/>
    <w:rsid w:val="00F2355B"/>
    <w:rsid w:val="00F42E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E2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2FB0"/>
    <w:rPr>
      <w:rFonts w:ascii="Tahoma" w:hAnsi="Tahoma" w:cs="Tahoma"/>
      <w:sz w:val="16"/>
      <w:szCs w:val="16"/>
    </w:rPr>
  </w:style>
  <w:style w:type="character" w:customStyle="1" w:styleId="BalloonTextChar">
    <w:name w:val="Balloon Text Char"/>
    <w:basedOn w:val="DefaultParagraphFont"/>
    <w:link w:val="BalloonText"/>
    <w:uiPriority w:val="99"/>
    <w:semiHidden/>
    <w:rsid w:val="00312F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2886718">
      <w:bodyDiv w:val="1"/>
      <w:marLeft w:val="0"/>
      <w:marRight w:val="0"/>
      <w:marTop w:val="0"/>
      <w:marBottom w:val="0"/>
      <w:divBdr>
        <w:top w:val="none" w:sz="0" w:space="0" w:color="auto"/>
        <w:left w:val="none" w:sz="0" w:space="0" w:color="auto"/>
        <w:bottom w:val="none" w:sz="0" w:space="0" w:color="auto"/>
        <w:right w:val="none" w:sz="0" w:space="0" w:color="auto"/>
      </w:divBdr>
    </w:div>
    <w:div w:id="1563828799">
      <w:bodyDiv w:val="1"/>
      <w:marLeft w:val="0"/>
      <w:marRight w:val="0"/>
      <w:marTop w:val="0"/>
      <w:marBottom w:val="0"/>
      <w:divBdr>
        <w:top w:val="none" w:sz="0" w:space="0" w:color="auto"/>
        <w:left w:val="none" w:sz="0" w:space="0" w:color="auto"/>
        <w:bottom w:val="none" w:sz="0" w:space="0" w:color="auto"/>
        <w:right w:val="none" w:sz="0" w:space="0" w:color="auto"/>
      </w:divBdr>
    </w:div>
    <w:div w:id="1589734219">
      <w:bodyDiv w:val="1"/>
      <w:marLeft w:val="0"/>
      <w:marRight w:val="0"/>
      <w:marTop w:val="0"/>
      <w:marBottom w:val="0"/>
      <w:divBdr>
        <w:top w:val="none" w:sz="0" w:space="0" w:color="auto"/>
        <w:left w:val="none" w:sz="0" w:space="0" w:color="auto"/>
        <w:bottom w:val="none" w:sz="0" w:space="0" w:color="auto"/>
        <w:right w:val="none" w:sz="0" w:space="0" w:color="auto"/>
      </w:divBdr>
    </w:div>
    <w:div w:id="1776245199">
      <w:bodyDiv w:val="1"/>
      <w:marLeft w:val="0"/>
      <w:marRight w:val="0"/>
      <w:marTop w:val="0"/>
      <w:marBottom w:val="0"/>
      <w:divBdr>
        <w:top w:val="none" w:sz="0" w:space="0" w:color="auto"/>
        <w:left w:val="none" w:sz="0" w:space="0" w:color="auto"/>
        <w:bottom w:val="none" w:sz="0" w:space="0" w:color="auto"/>
        <w:right w:val="none" w:sz="0" w:space="0" w:color="auto"/>
      </w:divBdr>
    </w:div>
    <w:div w:id="17892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ethompson</dc:creator>
  <cp:keywords/>
  <dc:description/>
  <cp:lastModifiedBy>ethompson</cp:lastModifiedBy>
  <cp:revision>2</cp:revision>
  <dcterms:created xsi:type="dcterms:W3CDTF">2011-08-02T20:55:00Z</dcterms:created>
  <dcterms:modified xsi:type="dcterms:W3CDTF">2011-08-02T21:51:00Z</dcterms:modified>
</cp:coreProperties>
</file>