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1E" w:rsidRDefault="004364FD">
      <w:r w:rsidRPr="004364FD">
        <w:rPr>
          <w:noProof/>
        </w:rPr>
        <w:drawing>
          <wp:inline distT="0" distB="0" distL="0" distR="0">
            <wp:extent cx="8058150" cy="5819775"/>
            <wp:effectExtent l="19050" t="0" r="1905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74343" w:rsidRDefault="00574343">
      <w:r>
        <w:lastRenderedPageBreak/>
        <w:t xml:space="preserve">The amp-pen is the most dominate in numbers throughout all three dives.  For peniagone sp </w:t>
      </w:r>
      <w:proofErr w:type="gramStart"/>
      <w:r>
        <w:t>a and</w:t>
      </w:r>
      <w:proofErr w:type="gramEnd"/>
      <w:r>
        <w:t xml:space="preserve"> sp b, it depends on the dive as to which one is the second most abundant.</w:t>
      </w:r>
      <w:r w:rsidR="00CF5537">
        <w:t xml:space="preserve"> </w:t>
      </w:r>
    </w:p>
    <w:p w:rsidR="00DA4D5B" w:rsidRDefault="00DA4D5B"/>
    <w:p w:rsidR="00DA4D5B" w:rsidRDefault="00DA4D5B">
      <w:r w:rsidRPr="00DA4D5B">
        <w:rPr>
          <w:noProof/>
        </w:rPr>
        <w:drawing>
          <wp:inline distT="0" distB="0" distL="0" distR="0">
            <wp:extent cx="5943600" cy="2679065"/>
            <wp:effectExtent l="19050" t="0" r="19050" b="698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A4D5B" w:rsidSect="004364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66D7"/>
    <w:rsid w:val="00082B82"/>
    <w:rsid w:val="00091192"/>
    <w:rsid w:val="00256C96"/>
    <w:rsid w:val="002B4102"/>
    <w:rsid w:val="002C751E"/>
    <w:rsid w:val="004364FD"/>
    <w:rsid w:val="004A4F4B"/>
    <w:rsid w:val="004C1F95"/>
    <w:rsid w:val="00574343"/>
    <w:rsid w:val="005D1AE3"/>
    <w:rsid w:val="005E2749"/>
    <w:rsid w:val="008C7969"/>
    <w:rsid w:val="009E26E8"/>
    <w:rsid w:val="00B60ECE"/>
    <w:rsid w:val="00BC7546"/>
    <w:rsid w:val="00C21319"/>
    <w:rsid w:val="00CF5537"/>
    <w:rsid w:val="00DA4D5B"/>
    <w:rsid w:val="00DB1E9E"/>
    <w:rsid w:val="00E1142E"/>
    <w:rsid w:val="00F066D7"/>
    <w:rsid w:val="00FC5582"/>
    <w:rsid w:val="00FC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graphs\graph%201%20templ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autoTitleDeleted val="1"/>
    <c:plotArea>
      <c:layout/>
      <c:barChart>
        <c:barDir val="col"/>
        <c:grouping val="clustered"/>
        <c:ser>
          <c:idx val="0"/>
          <c:order val="0"/>
          <c:tx>
            <c:v>D230</c:v>
          </c:tx>
          <c:spPr>
            <a:solidFill>
              <a:schemeClr val="tx2"/>
            </a:solidFill>
          </c:spPr>
          <c:cat>
            <c:strRef>
              <c:f>Sheet1!$B$1:$B$5</c:f>
              <c:strCache>
                <c:ptCount val="5"/>
                <c:pt idx="0">
                  <c:v>Amperima-Peniagone Complex</c:v>
                </c:pt>
                <c:pt idx="1">
                  <c:v>Peniagone sp.  B</c:v>
                </c:pt>
                <c:pt idx="2">
                  <c:v>Peniagone sp. A</c:v>
                </c:pt>
                <c:pt idx="3">
                  <c:v>Peniagone sp. C</c:v>
                </c:pt>
                <c:pt idx="4">
                  <c:v>Scotoplanes</c:v>
                </c:pt>
              </c:strCache>
            </c:strRef>
          </c:cat>
          <c:val>
            <c:numRef>
              <c:f>Sheet1!$C$1:$C$5</c:f>
              <c:numCache>
                <c:formatCode>General</c:formatCode>
                <c:ptCount val="5"/>
                <c:pt idx="0">
                  <c:v>889.00000000000205</c:v>
                </c:pt>
                <c:pt idx="1">
                  <c:v>182</c:v>
                </c:pt>
                <c:pt idx="2">
                  <c:v>280</c:v>
                </c:pt>
                <c:pt idx="3">
                  <c:v>2</c:v>
                </c:pt>
                <c:pt idx="4">
                  <c:v>116</c:v>
                </c:pt>
              </c:numCache>
            </c:numRef>
          </c:val>
        </c:ser>
        <c:ser>
          <c:idx val="1"/>
          <c:order val="1"/>
          <c:tx>
            <c:v>D231</c:v>
          </c:tx>
          <c:cat>
            <c:strRef>
              <c:f>Sheet1!$B$1:$B$5</c:f>
              <c:strCache>
                <c:ptCount val="5"/>
                <c:pt idx="0">
                  <c:v>Amperima-Peniagone Complex</c:v>
                </c:pt>
                <c:pt idx="1">
                  <c:v>Peniagone sp.  B</c:v>
                </c:pt>
                <c:pt idx="2">
                  <c:v>Peniagone sp. A</c:v>
                </c:pt>
                <c:pt idx="3">
                  <c:v>Peniagone sp. C</c:v>
                </c:pt>
                <c:pt idx="4">
                  <c:v>Scotoplanes</c:v>
                </c:pt>
              </c:strCache>
            </c:strRef>
          </c:cat>
          <c:val>
            <c:numRef>
              <c:f>Sheet1!$C$6:$C$10</c:f>
              <c:numCache>
                <c:formatCode>General</c:formatCode>
                <c:ptCount val="5"/>
                <c:pt idx="0">
                  <c:v>470</c:v>
                </c:pt>
                <c:pt idx="1">
                  <c:v>93</c:v>
                </c:pt>
                <c:pt idx="2">
                  <c:v>77</c:v>
                </c:pt>
                <c:pt idx="3">
                  <c:v>0</c:v>
                </c:pt>
                <c:pt idx="4">
                  <c:v>68</c:v>
                </c:pt>
              </c:numCache>
            </c:numRef>
          </c:val>
        </c:ser>
        <c:ser>
          <c:idx val="2"/>
          <c:order val="2"/>
          <c:tx>
            <c:v>D232</c:v>
          </c:tx>
          <c:val>
            <c:numRef>
              <c:f>Sheet1!$C$11:$C$15</c:f>
              <c:numCache>
                <c:formatCode>General</c:formatCode>
                <c:ptCount val="5"/>
                <c:pt idx="0">
                  <c:v>358</c:v>
                </c:pt>
                <c:pt idx="1">
                  <c:v>113</c:v>
                </c:pt>
                <c:pt idx="2">
                  <c:v>85</c:v>
                </c:pt>
                <c:pt idx="3">
                  <c:v>1</c:v>
                </c:pt>
                <c:pt idx="4">
                  <c:v>39</c:v>
                </c:pt>
              </c:numCache>
            </c:numRef>
          </c:val>
        </c:ser>
        <c:dLbls>
          <c:showVal val="1"/>
        </c:dLbls>
        <c:axId val="53376896"/>
        <c:axId val="53387264"/>
      </c:barChart>
      <c:catAx>
        <c:axId val="533768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400" baseline="0"/>
                </a:pPr>
                <a:r>
                  <a:rPr lang="en-US" sz="1400" baseline="0"/>
                  <a:t>Holothurian Name and Dive</a:t>
                </a:r>
              </a:p>
            </c:rich>
          </c:tx>
          <c:layout/>
        </c:title>
        <c:majorTickMark val="none"/>
        <c:tickLblPos val="nextTo"/>
        <c:txPr>
          <a:bodyPr/>
          <a:lstStyle/>
          <a:p>
            <a:pPr>
              <a:defRPr sz="1100" baseline="0"/>
            </a:pPr>
            <a:endParaRPr lang="en-US"/>
          </a:p>
        </c:txPr>
        <c:crossAx val="53387264"/>
        <c:crosses val="autoZero"/>
        <c:auto val="1"/>
        <c:lblAlgn val="ctr"/>
        <c:lblOffset val="100"/>
      </c:catAx>
      <c:valAx>
        <c:axId val="53387264"/>
        <c:scaling>
          <c:orientation val="minMax"/>
          <c:max val="900"/>
        </c:scaling>
        <c:axPos val="l"/>
        <c:majorGridlines>
          <c:spPr>
            <a:ln>
              <a:solidFill>
                <a:srgbClr val="4F81BD">
                  <a:alpha val="0"/>
                </a:srgb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400" baseline="0"/>
                </a:pPr>
                <a:r>
                  <a:rPr lang="en-US" sz="1400" baseline="0"/>
                  <a:t>Count</a:t>
                </a:r>
              </a:p>
            </c:rich>
          </c:tx>
          <c:layout/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1400" baseline="0"/>
            </a:pPr>
            <a:endParaRPr lang="en-US"/>
          </a:p>
        </c:txPr>
        <c:crossAx val="53376896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80875573177466287"/>
          <c:y val="9.4900404225249299E-2"/>
          <c:w val="0.14081085608979729"/>
          <c:h val="0.27113745806324124"/>
        </c:manualLayout>
      </c:layout>
      <c:overlay val="1"/>
      <c:txPr>
        <a:bodyPr/>
        <a:lstStyle/>
        <a:p>
          <a:pPr>
            <a:defRPr sz="1800" baseline="0"/>
          </a:pPr>
          <a:endParaRPr lang="en-US"/>
        </a:p>
      </c:txPr>
    </c:legend>
    <c:plotVisOnly val="1"/>
  </c:chart>
  <c:spPr>
    <a:noFill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7"/>
  <c:chart>
    <c:title>
      <c:layout/>
    </c:title>
    <c:plotArea>
      <c:layout/>
      <c:barChart>
        <c:barDir val="col"/>
        <c:grouping val="clustered"/>
        <c:ser>
          <c:idx val="0"/>
          <c:order val="0"/>
          <c:tx>
            <c:v>Total Species Count</c:v>
          </c:tx>
          <c:dLbls>
            <c:dLblPos val="ctr"/>
            <c:showVal val="1"/>
          </c:dLbls>
          <c:cat>
            <c:strRef>
              <c:f>Sheet1!$A$1:$E$1</c:f>
              <c:strCache>
                <c:ptCount val="5"/>
                <c:pt idx="0">
                  <c:v>Amperima-Peniagone Complex</c:v>
                </c:pt>
                <c:pt idx="1">
                  <c:v>Peniagone Sp. B</c:v>
                </c:pt>
                <c:pt idx="2">
                  <c:v>Peniagone Sp. A</c:v>
                </c:pt>
                <c:pt idx="3">
                  <c:v>Peniagone Sp. C</c:v>
                </c:pt>
                <c:pt idx="4">
                  <c:v>Scotoplanes</c:v>
                </c:pt>
              </c:strCache>
            </c:strRef>
          </c:cat>
          <c:val>
            <c:numRef>
              <c:f>Sheet1!$A$2:$E$2</c:f>
              <c:numCache>
                <c:formatCode>General</c:formatCode>
                <c:ptCount val="5"/>
                <c:pt idx="0">
                  <c:v>1717</c:v>
                </c:pt>
                <c:pt idx="1">
                  <c:v>388</c:v>
                </c:pt>
                <c:pt idx="2">
                  <c:v>442</c:v>
                </c:pt>
                <c:pt idx="3">
                  <c:v>3</c:v>
                </c:pt>
                <c:pt idx="4">
                  <c:v>223</c:v>
                </c:pt>
              </c:numCache>
            </c:numRef>
          </c:val>
        </c:ser>
        <c:dLbls>
          <c:showVal val="1"/>
        </c:dLbls>
        <c:axId val="53407104"/>
        <c:axId val="50803840"/>
      </c:barChart>
      <c:catAx>
        <c:axId val="53407104"/>
        <c:scaling>
          <c:orientation val="minMax"/>
        </c:scaling>
        <c:axPos val="b"/>
        <c:tickLblPos val="nextTo"/>
        <c:crossAx val="50803840"/>
        <c:crosses val="autoZero"/>
        <c:auto val="1"/>
        <c:lblAlgn val="ctr"/>
        <c:lblOffset val="100"/>
      </c:catAx>
      <c:valAx>
        <c:axId val="50803840"/>
        <c:scaling>
          <c:orientation val="minMax"/>
          <c:max val="18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Count</a:t>
                </a:r>
              </a:p>
            </c:rich>
          </c:tx>
          <c:layout/>
        </c:title>
        <c:numFmt formatCode="General" sourceLinked="1"/>
        <c:tickLblPos val="nextTo"/>
        <c:crossAx val="53407104"/>
        <c:crosses val="autoZero"/>
        <c:crossBetween val="between"/>
      </c:valAx>
    </c:plotArea>
    <c:plotVisOnly val="1"/>
  </c:chart>
  <c:spPr>
    <a:solidFill>
      <a:srgbClr val="4F81BD">
        <a:alpha val="19000"/>
      </a:srgbClr>
    </a:solidFill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11</cp:revision>
  <dcterms:created xsi:type="dcterms:W3CDTF">2011-07-26T17:38:00Z</dcterms:created>
  <dcterms:modified xsi:type="dcterms:W3CDTF">2011-08-08T17:49:00Z</dcterms:modified>
</cp:coreProperties>
</file>