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70494" w14:textId="23BBE3CE" w:rsidR="00FF0DD5" w:rsidRDefault="008A308F" w:rsidP="00FF0DD5">
      <w:pPr>
        <w:spacing w:line="480" w:lineRule="auto"/>
      </w:pPr>
      <w:r w:rsidRPr="00FF0DD5">
        <w:t>Figure 1</w:t>
      </w:r>
      <w:r w:rsidR="007F6452" w:rsidRPr="00FF0DD5">
        <w:t xml:space="preserve">. </w:t>
      </w:r>
      <w:proofErr w:type="gramStart"/>
      <w:r w:rsidR="00B356F7" w:rsidRPr="00FF0DD5">
        <w:t>Map showing Sta</w:t>
      </w:r>
      <w:r w:rsidR="00316A71" w:rsidRPr="00FF0DD5">
        <w:t>tion</w:t>
      </w:r>
      <w:r w:rsidR="00B356F7" w:rsidRPr="00FF0DD5">
        <w:t xml:space="preserve"> M</w:t>
      </w:r>
      <w:r w:rsidR="000D7BB1" w:rsidRPr="00FF0DD5">
        <w:t xml:space="preserve"> </w:t>
      </w:r>
      <w:r w:rsidR="00894486" w:rsidRPr="00FF0DD5">
        <w:t xml:space="preserve">in the </w:t>
      </w:r>
      <w:r w:rsidR="00AC0E99" w:rsidRPr="00FF0DD5">
        <w:t>northeast</w:t>
      </w:r>
      <w:r w:rsidR="003437A7" w:rsidRPr="00FF0DD5">
        <w:t xml:space="preserve"> Pacific, </w:t>
      </w:r>
      <w:r w:rsidR="000D7BB1" w:rsidRPr="00FF0DD5">
        <w:t>220 km of</w:t>
      </w:r>
      <w:r w:rsidR="00804176" w:rsidRPr="00FF0DD5">
        <w:t>f the California coast.</w:t>
      </w:r>
      <w:proofErr w:type="gramEnd"/>
      <w:r w:rsidR="00804176" w:rsidRPr="00FF0DD5">
        <w:t xml:space="preserve"> Inset: </w:t>
      </w:r>
      <w:r w:rsidR="006F0CF7">
        <w:t>a</w:t>
      </w:r>
      <w:r w:rsidR="00FF0DD5" w:rsidRPr="00FF0DD5">
        <w:t>reas sampled during investigations. Black circles indicate the start point of transects.</w:t>
      </w:r>
      <w:r w:rsidR="000E4661" w:rsidRPr="00FF0DD5">
        <w:t xml:space="preserve"> </w:t>
      </w:r>
      <w:r w:rsidR="00C34856" w:rsidRPr="00FF0DD5">
        <w:t xml:space="preserve">ROV studies </w:t>
      </w:r>
      <w:r w:rsidR="000E4661" w:rsidRPr="00FF0DD5">
        <w:t xml:space="preserve">conducted from </w:t>
      </w:r>
      <w:r w:rsidR="00C34856" w:rsidRPr="00FF0DD5">
        <w:t xml:space="preserve">2006 to </w:t>
      </w:r>
      <w:r w:rsidR="000D7BB1" w:rsidRPr="00FF0DD5">
        <w:t xml:space="preserve">2012 </w:t>
      </w:r>
      <w:r w:rsidR="000E4661" w:rsidRPr="00FF0DD5">
        <w:t>are shown to</w:t>
      </w:r>
      <w:r w:rsidR="00C34856" w:rsidRPr="00FF0DD5">
        <w:t xml:space="preserve"> the northeast, while 1989 to </w:t>
      </w:r>
      <w:r w:rsidR="0004550A" w:rsidRPr="00FF0DD5">
        <w:t>2004</w:t>
      </w:r>
      <w:r w:rsidR="000D7BB1" w:rsidRPr="00FF0DD5">
        <w:t xml:space="preserve"> camera sled sampling took place about 40</w:t>
      </w:r>
      <w:r w:rsidR="00651689" w:rsidRPr="00FF0DD5">
        <w:t>–</w:t>
      </w:r>
      <w:r w:rsidR="000D7BB1" w:rsidRPr="00FF0DD5">
        <w:t>50 km to the southwest.</w:t>
      </w:r>
      <w:r w:rsidR="00FF0DD5" w:rsidRPr="00FF0DD5">
        <w:t xml:space="preserve"> Bathymetric layer: http://services.arcgisonline.com/ArcGIS/services </w:t>
      </w:r>
      <w:proofErr w:type="spellStart"/>
      <w:r w:rsidR="00FF0DD5" w:rsidRPr="00FF0DD5">
        <w:t>Ocean_Basemap</w:t>
      </w:r>
      <w:proofErr w:type="spellEnd"/>
      <w:r w:rsidR="00FF0DD5" w:rsidRPr="00FF0DD5">
        <w:t xml:space="preserve"> 2013.</w:t>
      </w:r>
    </w:p>
    <w:p w14:paraId="0C600E31" w14:textId="77777777" w:rsidR="00FF0DD5" w:rsidRDefault="00FF0DD5" w:rsidP="00295558">
      <w:pPr>
        <w:spacing w:line="480" w:lineRule="auto"/>
        <w:rPr>
          <w:highlight w:val="green"/>
        </w:rPr>
      </w:pPr>
    </w:p>
    <w:p w14:paraId="10739083" w14:textId="6EB32D2D" w:rsidR="008A308F" w:rsidRPr="006810FA" w:rsidRDefault="008A308F" w:rsidP="00295558">
      <w:pPr>
        <w:spacing w:line="480" w:lineRule="auto"/>
      </w:pPr>
      <w:r w:rsidRPr="006810FA">
        <w:t>Figure 2.</w:t>
      </w:r>
      <w:r w:rsidR="003E7439" w:rsidRPr="006810FA">
        <w:t xml:space="preserve"> </w:t>
      </w:r>
      <w:r w:rsidR="00F40F6D" w:rsidRPr="006810FA">
        <w:t>Density of organisms observed during nin</w:t>
      </w:r>
      <w:r w:rsidR="000A1CBB" w:rsidRPr="006810FA">
        <w:t>e</w:t>
      </w:r>
      <w:r w:rsidR="00991C32">
        <w:t xml:space="preserve"> ROV </w:t>
      </w:r>
      <w:r w:rsidR="0075350B">
        <w:t>sampling</w:t>
      </w:r>
      <w:bookmarkStart w:id="0" w:name="_GoBack"/>
      <w:bookmarkEnd w:id="0"/>
      <w:r w:rsidR="00991C32">
        <w:t xml:space="preserve"> periods</w:t>
      </w:r>
      <w:r w:rsidR="00F40F6D" w:rsidRPr="006810FA">
        <w:t xml:space="preserve"> between 2006 and 2012.</w:t>
      </w:r>
      <w:r w:rsidR="00991C32">
        <w:t xml:space="preserve"> </w:t>
      </w:r>
      <w:r w:rsidR="003E7439" w:rsidRPr="006810FA">
        <w:t>A) Overall density of organisms (</w:t>
      </w:r>
      <w:r w:rsidR="008D4788" w:rsidRPr="006810FA">
        <w:t>erro</w:t>
      </w:r>
      <w:r w:rsidR="00F4743A" w:rsidRPr="006810FA">
        <w:t xml:space="preserve">r bars = SE). </w:t>
      </w:r>
      <w:r w:rsidR="009B788A">
        <w:t xml:space="preserve">Note that in February 2009, ROV navigation quality did not allow </w:t>
      </w:r>
      <w:proofErr w:type="gramStart"/>
      <w:r w:rsidR="009B788A">
        <w:t>the transect</w:t>
      </w:r>
      <w:proofErr w:type="gramEnd"/>
      <w:r w:rsidR="009B788A">
        <w:t xml:space="preserve"> to be reliably subsampled. </w:t>
      </w:r>
      <w:r w:rsidR="00CA5EC2">
        <w:t>Significant results of the two-sample KS test</w:t>
      </w:r>
      <w:r w:rsidR="009871A8">
        <w:t xml:space="preserve"> (p &lt; 0.05)</w:t>
      </w:r>
      <w:r w:rsidR="00CA5EC2">
        <w:t>:</w:t>
      </w:r>
      <w:r w:rsidR="00764087">
        <w:t xml:space="preserve"> </w:t>
      </w:r>
      <w:r w:rsidR="00555BF6">
        <w:t xml:space="preserve">** vs. Dec. 2006  </w:t>
      </w:r>
      <w:r w:rsidR="009871A8">
        <w:t xml:space="preserve">× vs. Feb. 2007 </w:t>
      </w:r>
      <w:r w:rsidR="00555BF6">
        <w:rPr>
          <w:rFonts w:ascii="Wingdings" w:hAnsi="Wingdings"/>
        </w:rPr>
        <w:t></w:t>
      </w:r>
      <w:r w:rsidR="00555BF6">
        <w:t xml:space="preserve"> vs. all periods except Dec. 2006 and Sept. </w:t>
      </w:r>
      <w:proofErr w:type="gramStart"/>
      <w:r w:rsidR="00555BF6">
        <w:t xml:space="preserve">2007  </w:t>
      </w:r>
      <w:r w:rsidR="00555BF6">
        <w:rPr>
          <w:rFonts w:ascii="Wingdings" w:hAnsi="Wingdings"/>
        </w:rPr>
        <w:t></w:t>
      </w:r>
      <w:proofErr w:type="gramEnd"/>
      <w:r w:rsidR="00555BF6">
        <w:t xml:space="preserve"> vs. all periods except June 2007  + vs. all periods except Jan. 2007 and Nov. 2011  * vs. all other periods. </w:t>
      </w:r>
      <w:r w:rsidR="00F40F6D" w:rsidRPr="006810FA">
        <w:t>B)</w:t>
      </w:r>
      <w:r w:rsidR="008D4788" w:rsidRPr="006810FA">
        <w:t xml:space="preserve"> </w:t>
      </w:r>
      <w:r w:rsidR="00F40F6D" w:rsidRPr="006810FA">
        <w:t>Overall dens</w:t>
      </w:r>
      <w:r w:rsidR="00001797">
        <w:t xml:space="preserve">ity for phylum-level categories. Friedman post-hoc tests indicate that </w:t>
      </w:r>
      <w:r w:rsidR="00823FD8">
        <w:t>there were significant differences (p &lt; 0.05) in the ranks among</w:t>
      </w:r>
      <w:r w:rsidR="00555BF6">
        <w:t xml:space="preserve"> all</w:t>
      </w:r>
      <w:r w:rsidR="00823FD8">
        <w:t xml:space="preserve"> </w:t>
      </w:r>
      <w:r w:rsidR="00123471">
        <w:t>phyla</w:t>
      </w:r>
      <w:r w:rsidR="00555BF6">
        <w:t xml:space="preserve"> except for</w:t>
      </w:r>
      <w:r w:rsidR="00123471">
        <w:t xml:space="preserve"> </w:t>
      </w:r>
      <w:proofErr w:type="spellStart"/>
      <w:r w:rsidR="00123471">
        <w:t>Cnidaria</w:t>
      </w:r>
      <w:proofErr w:type="spellEnd"/>
      <w:r w:rsidR="00123471">
        <w:t xml:space="preserve"> vs. Echinodermata, </w:t>
      </w:r>
      <w:proofErr w:type="spellStart"/>
      <w:r w:rsidR="00123471">
        <w:t>Cnidaria</w:t>
      </w:r>
      <w:proofErr w:type="spellEnd"/>
      <w:r w:rsidR="00123471">
        <w:t xml:space="preserve"> vs. Porifera, and Echinodermata vs. Porifera.</w:t>
      </w:r>
    </w:p>
    <w:p w14:paraId="716F5592" w14:textId="77777777" w:rsidR="00FF0DD5" w:rsidRPr="006810FA" w:rsidRDefault="00FF0DD5" w:rsidP="00295558">
      <w:pPr>
        <w:spacing w:line="480" w:lineRule="auto"/>
      </w:pPr>
    </w:p>
    <w:p w14:paraId="18BD2A8A" w14:textId="2EF40E27" w:rsidR="002D5AFA" w:rsidRPr="006810FA" w:rsidRDefault="002D5AFA" w:rsidP="00295558">
      <w:pPr>
        <w:spacing w:line="480" w:lineRule="auto"/>
      </w:pPr>
      <w:r w:rsidRPr="006810FA">
        <w:t>Figur</w:t>
      </w:r>
      <w:r w:rsidR="009C54D6">
        <w:t xml:space="preserve">e 3. Relative proportion </w:t>
      </w:r>
      <w:r w:rsidR="000075D8">
        <w:t xml:space="preserve">(as a percent) </w:t>
      </w:r>
      <w:r w:rsidR="009C54D6">
        <w:t xml:space="preserve">of </w:t>
      </w:r>
      <w:r w:rsidRPr="006810FA">
        <w:t xml:space="preserve">higher-taxa groups </w:t>
      </w:r>
      <w:r w:rsidR="009C54D6">
        <w:t>having the most effect on community structure</w:t>
      </w:r>
      <w:r w:rsidR="009871A8">
        <w:t>, b</w:t>
      </w:r>
      <w:r w:rsidR="001129C8">
        <w:t xml:space="preserve">ased on ROV surveys </w:t>
      </w:r>
      <w:r w:rsidRPr="006810FA">
        <w:t>between 2006 and 2012 (bars)</w:t>
      </w:r>
      <w:r w:rsidR="009C54D6">
        <w:t>.</w:t>
      </w:r>
      <w:r w:rsidRPr="006810FA">
        <w:t xml:space="preserve"> </w:t>
      </w:r>
      <w:r w:rsidR="009C54D6">
        <w:t xml:space="preserve">We show </w:t>
      </w:r>
      <w:r w:rsidRPr="006810FA">
        <w:t xml:space="preserve">Simpson’s Diversity Index </w:t>
      </w:r>
      <w:r w:rsidR="009871A8">
        <w:t xml:space="preserve">(SDI), </w:t>
      </w:r>
      <w:proofErr w:type="spellStart"/>
      <w:r w:rsidR="009C54D6">
        <w:t>Pielou’s</w:t>
      </w:r>
      <w:proofErr w:type="spellEnd"/>
      <w:r w:rsidR="009C54D6">
        <w:t xml:space="preserve"> Evenness </w:t>
      </w:r>
      <w:r w:rsidR="00F14082">
        <w:t>and the Shannon Index (</w:t>
      </w:r>
      <w:r w:rsidR="00F14082" w:rsidRPr="006810FA">
        <w:t>right axis)</w:t>
      </w:r>
      <w:r w:rsidR="00F14082">
        <w:t xml:space="preserve"> </w:t>
      </w:r>
      <w:r w:rsidR="009C54D6">
        <w:t>for each period</w:t>
      </w:r>
      <w:r w:rsidRPr="006810FA">
        <w:t xml:space="preserve">. Note that </w:t>
      </w:r>
      <w:r w:rsidR="00807509">
        <w:t xml:space="preserve">due the short transect length, </w:t>
      </w:r>
      <w:r w:rsidRPr="006810FA">
        <w:t xml:space="preserve">species richness for </w:t>
      </w:r>
      <w:r w:rsidR="00D37F5E">
        <w:t>June</w:t>
      </w:r>
      <w:r w:rsidRPr="006810FA">
        <w:t xml:space="preserve"> 2007 is likely underestimated.</w:t>
      </w:r>
    </w:p>
    <w:p w14:paraId="70719F3A" w14:textId="77777777" w:rsidR="006810FA" w:rsidRDefault="006810FA" w:rsidP="00295558">
      <w:pPr>
        <w:spacing w:line="480" w:lineRule="auto"/>
      </w:pPr>
    </w:p>
    <w:p w14:paraId="3263BB3A" w14:textId="53622129" w:rsidR="00BE0979" w:rsidRDefault="00BE0979" w:rsidP="00BE0979">
      <w:pPr>
        <w:spacing w:line="480" w:lineRule="auto"/>
      </w:pPr>
      <w:r>
        <w:lastRenderedPageBreak/>
        <w:t xml:space="preserve">Figure 4. A) Mobility strategies of organisms. Proportion </w:t>
      </w:r>
      <w:r w:rsidR="000075D8">
        <w:t xml:space="preserve">(as a percent) </w:t>
      </w:r>
      <w:r>
        <w:t xml:space="preserve">of sessile and functionally sessile vs. mobile organisms </w:t>
      </w:r>
      <w:r w:rsidR="001129C8">
        <w:t xml:space="preserve">based on ROV surveys </w:t>
      </w:r>
      <w:r>
        <w:t xml:space="preserve">between 2006 and 2012. B) Feeding strategies. </w:t>
      </w:r>
      <w:proofErr w:type="gramStart"/>
      <w:r>
        <w:t>Proportion of suspension feeders, predators and scavengers, surface deposit feeders, subsurface deposit feeders, and mixed feeding between 2006 and 2012.</w:t>
      </w:r>
      <w:proofErr w:type="gramEnd"/>
      <w:r>
        <w:t xml:space="preserve"> </w:t>
      </w:r>
      <w:proofErr w:type="gramStart"/>
      <w:r>
        <w:t xml:space="preserve">Categories after </w:t>
      </w:r>
      <w:proofErr w:type="spellStart"/>
      <w:r>
        <w:t>Iken</w:t>
      </w:r>
      <w:proofErr w:type="spellEnd"/>
      <w:r>
        <w:t>, et al. 2001.</w:t>
      </w:r>
      <w:proofErr w:type="gramEnd"/>
    </w:p>
    <w:p w14:paraId="56730D5B" w14:textId="77777777" w:rsidR="00594BE7" w:rsidRDefault="00594BE7" w:rsidP="00BE0979">
      <w:pPr>
        <w:spacing w:line="480" w:lineRule="auto"/>
      </w:pPr>
    </w:p>
    <w:p w14:paraId="1F6339FD" w14:textId="120CC5F9" w:rsidR="00BE0979" w:rsidRDefault="00BE0979" w:rsidP="00BE0979">
      <w:pPr>
        <w:spacing w:line="480" w:lineRule="auto"/>
      </w:pPr>
      <w:r>
        <w:t>Figure 5</w:t>
      </w:r>
      <w:r w:rsidRPr="00E87D53">
        <w:t>.</w:t>
      </w:r>
      <w:r>
        <w:t xml:space="preserve">  Multidimensional scaling (MDS) plot for </w:t>
      </w:r>
      <w:r w:rsidR="006F0CF7">
        <w:t>10</w:t>
      </w:r>
      <w:r>
        <w:t xml:space="preserve"> </w:t>
      </w:r>
      <w:r w:rsidR="00E0542D">
        <w:t>echinoderm</w:t>
      </w:r>
      <w:r>
        <w:t xml:space="preserve"> </w:t>
      </w:r>
      <w:r w:rsidR="00D82959">
        <w:t>taxa</w:t>
      </w:r>
      <w:r>
        <w:t xml:space="preserve"> followed from 1989 to 2012. The MDS is </w:t>
      </w:r>
      <w:r w:rsidRPr="00CA047B">
        <w:t xml:space="preserve">based on a Bray Curtis similarity index for </w:t>
      </w:r>
      <w:r w:rsidR="00465A73">
        <w:t>square</w:t>
      </w:r>
      <w:r w:rsidRPr="00CA047B">
        <w:t>-root transformed mean densities</w:t>
      </w:r>
      <w:r>
        <w:t xml:space="preserve"> and similarity is based on </w:t>
      </w:r>
      <w:r w:rsidRPr="00CA047B">
        <w:t>h</w:t>
      </w:r>
      <w:r>
        <w:t>ierarchical cluster analysis</w:t>
      </w:r>
      <w:r w:rsidR="00991C32">
        <w:t xml:space="preserve"> (single linkage)</w:t>
      </w:r>
      <w:r>
        <w:t xml:space="preserve">.  </w:t>
      </w:r>
    </w:p>
    <w:p w14:paraId="3975ADCD" w14:textId="77777777" w:rsidR="00BE0979" w:rsidRDefault="00BE0979" w:rsidP="00295558">
      <w:pPr>
        <w:spacing w:line="480" w:lineRule="auto"/>
      </w:pPr>
    </w:p>
    <w:p w14:paraId="242FDC9D" w14:textId="280EDFA8" w:rsidR="00E41A33" w:rsidRDefault="00594BE7" w:rsidP="00295558">
      <w:pPr>
        <w:spacing w:line="480" w:lineRule="auto"/>
      </w:pPr>
      <w:r>
        <w:t>Figure 6</w:t>
      </w:r>
      <w:r w:rsidR="00B63B26" w:rsidRPr="006810FA">
        <w:t xml:space="preserve">. </w:t>
      </w:r>
      <w:r w:rsidR="009D261E" w:rsidRPr="006810FA">
        <w:t xml:space="preserve">Comparison </w:t>
      </w:r>
      <w:r w:rsidR="00D46CAD" w:rsidRPr="006810FA">
        <w:t xml:space="preserve">of </w:t>
      </w:r>
      <w:r w:rsidR="000A74DD" w:rsidRPr="006810FA">
        <w:t>ten</w:t>
      </w:r>
      <w:r w:rsidR="00D46CAD" w:rsidRPr="006810FA">
        <w:t xml:space="preserve"> mobile megafaunal </w:t>
      </w:r>
      <w:r w:rsidR="00950EAA">
        <w:t>taxa</w:t>
      </w:r>
      <w:r w:rsidR="00D46CAD" w:rsidRPr="006810FA">
        <w:t xml:space="preserve"> </w:t>
      </w:r>
      <w:r w:rsidR="00B80724" w:rsidRPr="006810FA">
        <w:t xml:space="preserve">followed </w:t>
      </w:r>
      <w:r w:rsidR="00446935" w:rsidRPr="006810FA">
        <w:t xml:space="preserve">from 1989 to </w:t>
      </w:r>
      <w:r w:rsidR="008B3EAF">
        <w:t xml:space="preserve">2012, and </w:t>
      </w:r>
      <w:r w:rsidR="00A408D3">
        <w:t>percent cover of seafloor detritus from time-lapse camera images (</w:t>
      </w:r>
      <w:r w:rsidR="006E1F6C">
        <w:t>gray x axis indicates no data; after</w:t>
      </w:r>
      <w:r w:rsidR="00A408D3">
        <w:t xml:space="preserve"> Smith, et al. 2013).</w:t>
      </w:r>
      <w:r w:rsidR="008B3EAF">
        <w:t xml:space="preserve"> </w:t>
      </w:r>
      <w:r w:rsidR="00D42180" w:rsidRPr="006810FA">
        <w:t>Sampling dates to the left of the black bar</w:t>
      </w:r>
      <w:r w:rsidR="00AE39ED" w:rsidRPr="006810FA">
        <w:t xml:space="preserve"> indicate camera-sled sampling. Later periods were sampled </w:t>
      </w:r>
      <w:r w:rsidR="00CB2421" w:rsidRPr="006810FA">
        <w:t>via</w:t>
      </w:r>
      <w:r w:rsidR="00AE39ED" w:rsidRPr="006810FA">
        <w:t xml:space="preserve"> ROV</w:t>
      </w:r>
      <w:r w:rsidR="00CB2421" w:rsidRPr="006810FA">
        <w:t xml:space="preserve"> transects</w:t>
      </w:r>
      <w:r w:rsidR="00AE39ED" w:rsidRPr="006810FA">
        <w:t>.</w:t>
      </w:r>
      <w:r w:rsidR="007D44E7" w:rsidRPr="006810FA">
        <w:t xml:space="preserve"> Note </w:t>
      </w:r>
      <w:r w:rsidR="003776E9" w:rsidRPr="006810FA">
        <w:t xml:space="preserve">the </w:t>
      </w:r>
      <w:r w:rsidR="00E858EB" w:rsidRPr="006810FA">
        <w:t xml:space="preserve">vertical </w:t>
      </w:r>
      <w:r w:rsidR="003F515E" w:rsidRPr="006810FA">
        <w:t xml:space="preserve">scale </w:t>
      </w:r>
      <w:r w:rsidR="007D44E7" w:rsidRPr="006810FA">
        <w:t>difference</w:t>
      </w:r>
      <w:r w:rsidR="006037D5" w:rsidRPr="006810FA">
        <w:t>s</w:t>
      </w:r>
      <w:r w:rsidR="007D44E7" w:rsidRPr="006810FA">
        <w:t xml:space="preserve"> in </w:t>
      </w:r>
      <w:r w:rsidR="003F515E" w:rsidRPr="006810FA">
        <w:t xml:space="preserve">the </w:t>
      </w:r>
      <w:r w:rsidR="006037D5" w:rsidRPr="006810FA">
        <w:t>panels</w:t>
      </w:r>
      <w:r w:rsidR="007D44E7" w:rsidRPr="006810FA">
        <w:t>.</w:t>
      </w:r>
    </w:p>
    <w:p w14:paraId="2C09B760" w14:textId="77777777" w:rsidR="00CF19EA" w:rsidRDefault="00CF19EA" w:rsidP="00295558">
      <w:pPr>
        <w:spacing w:line="480" w:lineRule="auto"/>
      </w:pPr>
    </w:p>
    <w:p w14:paraId="10CEFCFD" w14:textId="477BF205" w:rsidR="00CF19EA" w:rsidRDefault="00950EAA" w:rsidP="00CF19EA">
      <w:pPr>
        <w:spacing w:line="480" w:lineRule="auto"/>
      </w:pPr>
      <w:r>
        <w:t xml:space="preserve">Figure 7. </w:t>
      </w:r>
      <w:proofErr w:type="gramStart"/>
      <w:r>
        <w:t xml:space="preserve">Images showing </w:t>
      </w:r>
      <w:r w:rsidR="00CF19EA">
        <w:t xml:space="preserve">seafloor conditions during </w:t>
      </w:r>
      <w:r w:rsidR="00E7505E">
        <w:t>R</w:t>
      </w:r>
      <w:r w:rsidR="009871A8">
        <w:t xml:space="preserve">OV various surveys between 2006 and </w:t>
      </w:r>
      <w:r w:rsidR="00E7505E">
        <w:t>2012.</w:t>
      </w:r>
      <w:proofErr w:type="gramEnd"/>
      <w:r w:rsidR="00E7505E">
        <w:t xml:space="preserve">  A) O</w:t>
      </w:r>
      <w:r w:rsidR="00CF19EA">
        <w:t xml:space="preserve">bservations show the seafloor with little to no organic debris. A small </w:t>
      </w:r>
      <w:proofErr w:type="spellStart"/>
      <w:r w:rsidR="00CF19EA">
        <w:rPr>
          <w:rFonts w:eastAsia="Times New Roman"/>
          <w:color w:val="000000"/>
        </w:rPr>
        <w:t>Euplectellid</w:t>
      </w:r>
      <w:proofErr w:type="spellEnd"/>
      <w:r w:rsidR="00CF19EA">
        <w:t xml:space="preserve"> sponge can be seen to the left of center. B) In June 2007, detrital aggregates (white arrows) are apparent. The sea pen </w:t>
      </w:r>
      <w:proofErr w:type="spellStart"/>
      <w:r w:rsidR="00CF19EA" w:rsidRPr="00074D58">
        <w:rPr>
          <w:i/>
        </w:rPr>
        <w:t>Pennatula</w:t>
      </w:r>
      <w:proofErr w:type="spellEnd"/>
      <w:r w:rsidR="00CF19EA">
        <w:rPr>
          <w:i/>
        </w:rPr>
        <w:t xml:space="preserve"> </w:t>
      </w:r>
      <w:r w:rsidR="00CF19EA">
        <w:t xml:space="preserve">is shown. C) Three months later, the density and size of detrital aggregates (white arrows) became larger. D) </w:t>
      </w:r>
      <w:r w:rsidR="00E7505E">
        <w:t>In</w:t>
      </w:r>
      <w:r w:rsidR="00CF19EA">
        <w:t xml:space="preserve"> February 2009, the seafloor had no detrital aggregates present. Dead </w:t>
      </w:r>
      <w:r w:rsidR="00CF19EA" w:rsidRPr="00074D58">
        <w:rPr>
          <w:i/>
        </w:rPr>
        <w:t>Hyalonema</w:t>
      </w:r>
      <w:r w:rsidR="00CF19EA">
        <w:t xml:space="preserve"> sponge stalks with small sponges attached are shown in the upper frame. E) In June 2012, dense numbers of dead/dying pelagic salps sank to the seafloor (white polygons). F) Six months later organic debris was nearly gone, but the density of animals like the holothurian </w:t>
      </w:r>
      <w:r w:rsidR="00CF19EA" w:rsidRPr="00762A06">
        <w:rPr>
          <w:i/>
        </w:rPr>
        <w:t>Elpidia</w:t>
      </w:r>
      <w:r w:rsidR="00CF19EA">
        <w:rPr>
          <w:i/>
        </w:rPr>
        <w:t xml:space="preserve"> </w:t>
      </w:r>
      <w:r w:rsidR="00CF19EA">
        <w:t>was at its peak. ROV lasers (orange dots) are used for size reference, and are spaced 29 cm apart.</w:t>
      </w:r>
    </w:p>
    <w:p w14:paraId="16FEC3B0" w14:textId="77777777" w:rsidR="00CF19EA" w:rsidRPr="00D61403" w:rsidRDefault="00CF19EA" w:rsidP="00295558">
      <w:pPr>
        <w:spacing w:line="480" w:lineRule="auto"/>
      </w:pPr>
    </w:p>
    <w:sectPr w:rsidR="00CF19EA" w:rsidRPr="00D61403" w:rsidSect="000A1A7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8EFC3" w14:textId="77777777" w:rsidR="00555BF6" w:rsidRDefault="00555BF6" w:rsidP="00AF15DB">
      <w:r>
        <w:separator/>
      </w:r>
    </w:p>
  </w:endnote>
  <w:endnote w:type="continuationSeparator" w:id="0">
    <w:p w14:paraId="5EFD3C37" w14:textId="77777777" w:rsidR="00555BF6" w:rsidRDefault="00555BF6" w:rsidP="00AF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7343F" w14:textId="77777777" w:rsidR="00555BF6" w:rsidRDefault="00555BF6" w:rsidP="00DE61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A9AF3" w14:textId="77777777" w:rsidR="00555BF6" w:rsidRDefault="00555BF6" w:rsidP="000A1A7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EFC1F" w14:textId="04113C36" w:rsidR="00555BF6" w:rsidRDefault="00555BF6" w:rsidP="00DE61EC">
    <w:pPr>
      <w:pStyle w:val="Footer"/>
      <w:framePr w:wrap="around" w:vAnchor="text" w:hAnchor="margin" w:xAlign="right" w:y="1"/>
      <w:rPr>
        <w:rStyle w:val="PageNumber"/>
      </w:rPr>
    </w:pPr>
  </w:p>
  <w:p w14:paraId="1783D92B" w14:textId="77777777" w:rsidR="00555BF6" w:rsidRDefault="00555BF6" w:rsidP="000A1A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A1596" w14:textId="77777777" w:rsidR="00555BF6" w:rsidRDefault="00555BF6" w:rsidP="00AF15DB">
      <w:r>
        <w:separator/>
      </w:r>
    </w:p>
  </w:footnote>
  <w:footnote w:type="continuationSeparator" w:id="0">
    <w:p w14:paraId="2E3FEFE2" w14:textId="77777777" w:rsidR="00555BF6" w:rsidRDefault="00555BF6" w:rsidP="00AF1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D5"/>
    <w:rsid w:val="00001797"/>
    <w:rsid w:val="000075D8"/>
    <w:rsid w:val="0004129F"/>
    <w:rsid w:val="0004550A"/>
    <w:rsid w:val="00054BB6"/>
    <w:rsid w:val="00054FDA"/>
    <w:rsid w:val="00074D58"/>
    <w:rsid w:val="000A1A7A"/>
    <w:rsid w:val="000A1CBB"/>
    <w:rsid w:val="000A74DD"/>
    <w:rsid w:val="000D7BB1"/>
    <w:rsid w:val="000E4661"/>
    <w:rsid w:val="001129C8"/>
    <w:rsid w:val="00123471"/>
    <w:rsid w:val="00142AAB"/>
    <w:rsid w:val="00170F17"/>
    <w:rsid w:val="00245726"/>
    <w:rsid w:val="00246BB6"/>
    <w:rsid w:val="00295558"/>
    <w:rsid w:val="002D5AFA"/>
    <w:rsid w:val="002F494C"/>
    <w:rsid w:val="002F5118"/>
    <w:rsid w:val="00316A71"/>
    <w:rsid w:val="003414ED"/>
    <w:rsid w:val="003437A7"/>
    <w:rsid w:val="003776E9"/>
    <w:rsid w:val="003B6AC4"/>
    <w:rsid w:val="003C6B7D"/>
    <w:rsid w:val="003E6CD1"/>
    <w:rsid w:val="003E7439"/>
    <w:rsid w:val="003F515E"/>
    <w:rsid w:val="00446935"/>
    <w:rsid w:val="00465A73"/>
    <w:rsid w:val="004967F9"/>
    <w:rsid w:val="004D0389"/>
    <w:rsid w:val="004D7EE2"/>
    <w:rsid w:val="004E342E"/>
    <w:rsid w:val="005169AB"/>
    <w:rsid w:val="00555BF6"/>
    <w:rsid w:val="0058040B"/>
    <w:rsid w:val="00594BE7"/>
    <w:rsid w:val="005C3D58"/>
    <w:rsid w:val="006037D5"/>
    <w:rsid w:val="00651689"/>
    <w:rsid w:val="0067352E"/>
    <w:rsid w:val="006810FA"/>
    <w:rsid w:val="006B39D5"/>
    <w:rsid w:val="006E017F"/>
    <w:rsid w:val="006E1F6C"/>
    <w:rsid w:val="006F0CF7"/>
    <w:rsid w:val="00714713"/>
    <w:rsid w:val="0075350B"/>
    <w:rsid w:val="00762A06"/>
    <w:rsid w:val="00764087"/>
    <w:rsid w:val="00765F1A"/>
    <w:rsid w:val="0077347C"/>
    <w:rsid w:val="007D44E7"/>
    <w:rsid w:val="007F6452"/>
    <w:rsid w:val="00804176"/>
    <w:rsid w:val="00807509"/>
    <w:rsid w:val="00811AD2"/>
    <w:rsid w:val="0082212A"/>
    <w:rsid w:val="00823FD8"/>
    <w:rsid w:val="008576C5"/>
    <w:rsid w:val="0088642B"/>
    <w:rsid w:val="00894486"/>
    <w:rsid w:val="008A308F"/>
    <w:rsid w:val="008A372B"/>
    <w:rsid w:val="008B3EAF"/>
    <w:rsid w:val="008D4788"/>
    <w:rsid w:val="008E2C77"/>
    <w:rsid w:val="00950EAA"/>
    <w:rsid w:val="009871A8"/>
    <w:rsid w:val="00991C32"/>
    <w:rsid w:val="009B45DB"/>
    <w:rsid w:val="009B788A"/>
    <w:rsid w:val="009C54D6"/>
    <w:rsid w:val="009D261E"/>
    <w:rsid w:val="00A165FE"/>
    <w:rsid w:val="00A408D3"/>
    <w:rsid w:val="00A5088D"/>
    <w:rsid w:val="00AA6622"/>
    <w:rsid w:val="00AC0E99"/>
    <w:rsid w:val="00AE22FE"/>
    <w:rsid w:val="00AE39ED"/>
    <w:rsid w:val="00AF15DB"/>
    <w:rsid w:val="00B0716D"/>
    <w:rsid w:val="00B356F7"/>
    <w:rsid w:val="00B63B26"/>
    <w:rsid w:val="00B70EC0"/>
    <w:rsid w:val="00B71B1D"/>
    <w:rsid w:val="00B80724"/>
    <w:rsid w:val="00BE0979"/>
    <w:rsid w:val="00C2564B"/>
    <w:rsid w:val="00C34856"/>
    <w:rsid w:val="00C87F0B"/>
    <w:rsid w:val="00C95179"/>
    <w:rsid w:val="00CA0900"/>
    <w:rsid w:val="00CA5EC2"/>
    <w:rsid w:val="00CB2421"/>
    <w:rsid w:val="00CF19EA"/>
    <w:rsid w:val="00D37F5E"/>
    <w:rsid w:val="00D42180"/>
    <w:rsid w:val="00D46CAD"/>
    <w:rsid w:val="00D61403"/>
    <w:rsid w:val="00D82959"/>
    <w:rsid w:val="00D96656"/>
    <w:rsid w:val="00DC0E84"/>
    <w:rsid w:val="00DC485D"/>
    <w:rsid w:val="00DE61EC"/>
    <w:rsid w:val="00DE67FD"/>
    <w:rsid w:val="00DF76DD"/>
    <w:rsid w:val="00E0542D"/>
    <w:rsid w:val="00E41A33"/>
    <w:rsid w:val="00E51B88"/>
    <w:rsid w:val="00E546B3"/>
    <w:rsid w:val="00E7505E"/>
    <w:rsid w:val="00E858EB"/>
    <w:rsid w:val="00E87D53"/>
    <w:rsid w:val="00ED785B"/>
    <w:rsid w:val="00F14082"/>
    <w:rsid w:val="00F40F6D"/>
    <w:rsid w:val="00F4743A"/>
    <w:rsid w:val="00F678AF"/>
    <w:rsid w:val="00FA21C4"/>
    <w:rsid w:val="00FB0592"/>
    <w:rsid w:val="00FD6C0A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43C63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95558"/>
  </w:style>
  <w:style w:type="paragraph" w:styleId="Header">
    <w:name w:val="header"/>
    <w:basedOn w:val="Normal"/>
    <w:link w:val="HeaderChar"/>
    <w:uiPriority w:val="99"/>
    <w:unhideWhenUsed/>
    <w:rsid w:val="00AF15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5DB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15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5DB"/>
    <w:rPr>
      <w:rFonts w:ascii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0A1A7A"/>
  </w:style>
  <w:style w:type="character" w:styleId="Hyperlink">
    <w:name w:val="Hyperlink"/>
    <w:basedOn w:val="DefaultParagraphFont"/>
    <w:uiPriority w:val="99"/>
    <w:unhideWhenUsed/>
    <w:rsid w:val="00FF0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95558"/>
  </w:style>
  <w:style w:type="paragraph" w:styleId="Header">
    <w:name w:val="header"/>
    <w:basedOn w:val="Normal"/>
    <w:link w:val="HeaderChar"/>
    <w:uiPriority w:val="99"/>
    <w:unhideWhenUsed/>
    <w:rsid w:val="00AF15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5DB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15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5DB"/>
    <w:rPr>
      <w:rFonts w:ascii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0A1A7A"/>
  </w:style>
  <w:style w:type="character" w:styleId="Hyperlink">
    <w:name w:val="Hyperlink"/>
    <w:basedOn w:val="DefaultParagraphFont"/>
    <w:uiPriority w:val="99"/>
    <w:unhideWhenUsed/>
    <w:rsid w:val="00FF0D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520</Words>
  <Characters>2969</Characters>
  <Application>Microsoft Macintosh Word</Application>
  <DocSecurity>0</DocSecurity>
  <Lines>24</Lines>
  <Paragraphs>6</Paragraphs>
  <ScaleCrop>false</ScaleCrop>
  <Company>MBARI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35</cp:revision>
  <cp:lastPrinted>2014-01-21T17:27:00Z</cp:lastPrinted>
  <dcterms:created xsi:type="dcterms:W3CDTF">2014-01-16T16:25:00Z</dcterms:created>
  <dcterms:modified xsi:type="dcterms:W3CDTF">2014-04-11T15:53:00Z</dcterms:modified>
</cp:coreProperties>
</file>