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comments.xml" ContentType="application/vnd.openxmlformats-officedocument.wordprocessingml.comments+xml"/>
  <Override PartName="/word/header1.xml" ContentType="application/vnd.openxmlformats-officedocument.wordprocessingml.header+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rFonts w:ascii="Arial" w:cs="Times New Roman" w:hAnsi="Arial"/>
          <w:b/>
          <w:bCs/>
        </w:rPr>
        <w:t>Cytometers set sail with sea-going mobile robots</w:t>
      </w:r>
    </w:p>
    <w:p>
      <w:pPr>
        <w:pStyle w:val="style0"/>
      </w:pPr>
      <w:r>
        <w:rPr/>
      </w:r>
    </w:p>
    <w:p>
      <w:pPr>
        <w:pStyle w:val="style0"/>
      </w:pPr>
      <w:r>
        <w:rPr>
          <w:rFonts w:ascii="Arial" w:cs="Times New Roman" w:hAnsi="Arial"/>
        </w:rPr>
        <w:t>Marine microbial communities play a critical role in Earth's biosphere. Phytoplankton produces at least 50% of breathable oxygen, regulate atmospheric CO</w:t>
      </w:r>
      <w:r>
        <w:rPr>
          <w:rFonts w:ascii="Arial" w:hAnsi="Arial"/>
          <w:vertAlign w:val="subscript"/>
        </w:rPr>
        <w:t>2</w:t>
      </w:r>
      <w:r>
        <w:rPr>
          <w:rFonts w:ascii="Arial" w:cs="Times New Roman" w:hAnsi="Arial"/>
        </w:rPr>
        <w:t xml:space="preserve">, and form the base of the marine food web. </w:t>
      </w:r>
      <w:r>
        <w:rPr>
          <w:rFonts w:ascii="Arial" w:cs="Times New Roman" w:eastAsia="Times New Roman" w:hAnsi="Arial"/>
          <w:color w:val="000000"/>
        </w:rPr>
        <w:t xml:space="preserve">Toxic algal blooms have major effects on coastal ecosystems and fisheries as well as human health. </w:t>
      </w:r>
      <w:r>
        <w:rPr>
          <w:rFonts w:ascii="Arial" w:cs="Times New Roman" w:hAnsi="Arial"/>
        </w:rPr>
        <w:t>Knowledge of phytoplankton distribution, diversity and abundance in the ocean is largely due to instruments called flow cytometers (Figure 1), which produce quantitative multi-parametric measurements of individual particles at rates of thousands per second or more (Shapiro, 2003). Measurements made using cytometric parameters such as light scatter and fluorescence can reveal cell size and intrinsic pigments, which are useful in characterizing plankton taxonomy, abundance and viability (Figure 2). Most cytometric measurements are made from ships, buoys, and cable-to-shore observatories. Integration of cytometers into autonomous surface and underwater vehicles could greatly advance marine microbiology by enabling better spatial and temporal sampling, facilitate faster "event response", could provide access to climate-sensitive polar under-ice regions, and may lower costs relative to ship operations. In this article we discuss instrument and vehicle development trends that point the way to these mobile robot cytometers.</w:t>
      </w:r>
    </w:p>
    <w:p>
      <w:pPr>
        <w:pStyle w:val="style0"/>
      </w:pPr>
      <w:r>
        <w:rPr/>
      </w:r>
    </w:p>
    <w:p>
      <w:pPr>
        <w:pStyle w:val="style0"/>
      </w:pPr>
      <w:r>
        <w:rPr>
          <w:rFonts w:ascii="Arial" w:cs="Times New Roman" w:eastAsia="Times New Roman" w:hAnsi="Arial"/>
          <w:color w:val="000000"/>
        </w:rPr>
        <w:t>Long-duration untethered autonomous vehicles complement other data gathering platforms such as research vessels and moorings since they can sample broad areas and volumes, and have proven themselves revolutionary in the ocean sciences (</w:t>
      </w:r>
      <w:r>
        <w:rPr>
          <w:rFonts w:ascii="Arial" w:cs="Times New Roman" w:eastAsia="Times New Roman" w:hAnsi="Arial"/>
          <w:color w:val="FF0000"/>
        </w:rPr>
        <w:t>Bellingham, 2014</w:t>
      </w:r>
      <w:r>
        <w:rPr/>
        <w:commentReference w:id="0"/>
      </w:r>
      <w:r>
        <w:rPr>
          <w:rFonts w:ascii="Arial" w:cs="Times New Roman" w:eastAsia="Times New Roman" w:hAnsi="Arial"/>
          <w:color w:val="000000"/>
        </w:rPr>
        <w:t>). The inclusion of cytometers on these vehicles would greatly advance marine microbiology, but this integration presents challenges. Existing vehicles have limited size and power budget that must be considered. Traditional flow cytometer designs offer unique challenges for autonomous vehicle integration. The typical hydrodynamic focusing utilized for optimal positioning of particles in the flow stream requires a source of particle-free “sheath” fluid. Laser light sources, focusing optics and detection systems must maintain precise alignment. In addition many desirable flow cytometric assays such as total DNA or viability assessment require processing of material before entering the flow cytometer for analysis (Veldhuis and Kraay, 2000, Lomas et al, 2011). Data processing and communication capabilities add another constraint to cytometer integration. Clearly integration of flow cytometers as AUV payloads would benefit from optimized cytometer design.</w:t>
      </w:r>
    </w:p>
    <w:p>
      <w:pPr>
        <w:pStyle w:val="style0"/>
      </w:pPr>
      <w:r>
        <w:rPr/>
      </w:r>
    </w:p>
    <w:p>
      <w:pPr>
        <w:pStyle w:val="style0"/>
      </w:pPr>
      <w:r>
        <w:rPr>
          <w:rFonts w:ascii="Arial" w:cs="Times New Roman" w:eastAsia="Times New Roman" w:hAnsi="Arial"/>
          <w:color w:val="000000"/>
        </w:rPr>
        <w:t xml:space="preserve">A consideration of the minimum number of flow cytometric parameters that can provide reliable characterization of plankton is important for producing a focused instrument design. </w:t>
      </w:r>
      <w:r>
        <w:rPr>
          <w:rFonts w:ascii="Arial" w:cs="Times New Roman" w:eastAsia="Times New Roman" w:hAnsi="Arial"/>
        </w:rPr>
        <w:t>The fact that many species of plankton can be identified by cytometric measurement of the intrinsic qualities of the organism, such as light scatter (approximate size) or fluorescence from native pigments, helps to reduce the parameters needed (Sosik et al, 2010). In addition, novel approaches to the tradi</w:t>
      </w:r>
      <w:r>
        <w:rPr>
          <w:rFonts w:ascii="Arial" w:cs="Times New Roman" w:eastAsia="Times New Roman" w:hAnsi="Arial"/>
          <w:color w:val="000000"/>
        </w:rPr>
        <w:t xml:space="preserve">tional flow cytometer design can further minimize the size/power footprint of an instrument destined for a vehicle. Instruments that simplify sample handling by measuring intrinsic phytoplankton fluorescence without the need for staining cells beforehand or sorting them in the cytometer are the best candidates for early integration.  </w:t>
      </w:r>
    </w:p>
    <w:p>
      <w:pPr>
        <w:pStyle w:val="style0"/>
      </w:pPr>
      <w:r>
        <w:rPr/>
      </w:r>
    </w:p>
    <w:p>
      <w:pPr>
        <w:pStyle w:val="style0"/>
      </w:pPr>
      <w:r>
        <w:rPr>
          <w:rFonts w:ascii="Arial" w:cs="Times New Roman" w:eastAsia="Times New Roman" w:hAnsi="Arial"/>
          <w:color w:val="000000"/>
        </w:rPr>
        <w:t>Parameters that have proven beneficial for marine application of cytometers include Coulter volume, light scatter and fluorescence, time-of-flight pulse shape characterization, and imaging techniques. Some instruments have been developed and deployed that combine some of these techniques; the CytoBuoy (CytoBuoy b.v., Woerden, the Netherlands) for pulse shape and image capture, and the Imaging Flow CytoBot (WHOI, Woods Hole, MA) adds image analysis. The wide range of sizes (0.2-200 micrometers) and shapes (round, rod-like, chains) of marine phytoplankton adds a daunting challenge in designing one cytometric system that can accurately identify all types of plankton. Traditional laboratory based cytometers have not been able to analyze such a large dynamic range of particle sizes in one instrument without adding complexity to the system (Beckman Coulter Astrios EQ), or designing systems specific to a portion of the dynamic range (Apogee A50).</w:t>
      </w:r>
    </w:p>
    <w:p>
      <w:pPr>
        <w:pStyle w:val="style0"/>
      </w:pPr>
      <w:r>
        <w:rPr/>
      </w:r>
    </w:p>
    <w:p>
      <w:pPr>
        <w:pStyle w:val="style0"/>
      </w:pPr>
      <w:r>
        <w:rPr/>
      </w:r>
    </w:p>
    <w:p>
      <w:pPr>
        <w:pStyle w:val="style0"/>
      </w:pPr>
      <w:r>
        <w:rPr>
          <w:rFonts w:ascii="Arial" w:cs="Times New Roman" w:eastAsia="Times New Roman" w:hAnsi="Arial"/>
          <w:b/>
          <w:bCs/>
          <w:color w:val="000000"/>
        </w:rPr>
        <w:t>&lt;&lt;H1&gt;&gt;STATE OF THE ART</w:t>
      </w:r>
    </w:p>
    <w:p>
      <w:pPr>
        <w:pStyle w:val="style0"/>
      </w:pPr>
      <w:r>
        <w:rPr>
          <w:rFonts w:ascii="Arial" w:cs="Times New Roman" w:eastAsia="Times New Roman" w:hAnsi="Arial"/>
          <w:b/>
          <w:bCs/>
          <w:color w:val="000000"/>
        </w:rPr>
        <w:t>&lt;&lt;H2&gt;&gt;Autonomous vehicle benefits and constraints</w:t>
      </w:r>
    </w:p>
    <w:p>
      <w:pPr>
        <w:pStyle w:val="style0"/>
      </w:pPr>
      <w:r>
        <w:rPr>
          <w:rFonts w:ascii="Arial" w:cs="Times New Roman" w:eastAsia="Times New Roman" w:hAnsi="Arial"/>
          <w:color w:val="000000"/>
        </w:rPr>
        <w:t>Autonomous surface vehicles (ASVs) are robot boats that move along the sea surface, and may be equipped with profilers for acquiring data at depth. Autonomous underwater vehicles (AUVs) move in three dimensions and may be propeller driven, or buoyancy driven in the case of gliders. Autonomous vehicles provide a number of benefits compare to manned vessels:</w:t>
      </w:r>
    </w:p>
    <w:p>
      <w:pPr>
        <w:pStyle w:val="style0"/>
      </w:pPr>
      <w:r>
        <w:rPr>
          <w:rFonts w:ascii="Arial" w:cs="Times New Roman" w:hAnsi="Arial"/>
          <w:b/>
        </w:rPr>
        <w:t>Automated surveys</w:t>
      </w:r>
      <w:r>
        <w:rPr>
          <w:rFonts w:ascii="Arial" w:cs="Times New Roman" w:hAnsi="Arial"/>
        </w:rPr>
        <w:t xml:space="preserve">: Autonomous vehicles can be dispatched to a specific location, and underwater vehicles, to specific depths, </w:t>
      </w:r>
      <w:r>
        <w:rPr>
          <w:rFonts w:ascii="Arial" w:cs="Times New Roman" w:hAnsi="Arial"/>
          <w:color w:val="000000"/>
        </w:rPr>
        <w:t>enabling 2D and 3D surveys</w:t>
      </w:r>
      <w:r>
        <w:rPr>
          <w:rFonts w:ascii="Arial" w:cs="Times New Roman" w:hAnsi="Arial"/>
        </w:rPr>
        <w:t xml:space="preserve">. The survey may be commanded by a human operator or another machine, or the vehicle itself may alter survey patterns in response to </w:t>
      </w:r>
      <w:r>
        <w:rPr>
          <w:rFonts w:ascii="Arial" w:cs="Times New Roman" w:hAnsi="Arial"/>
          <w:i/>
          <w:iCs/>
        </w:rPr>
        <w:t>in situ</w:t>
      </w:r>
      <w:r>
        <w:rPr>
          <w:rFonts w:ascii="Arial" w:cs="Times New Roman" w:hAnsi="Arial"/>
        </w:rPr>
        <w:t xml:space="preserve"> sensor data.  </w:t>
      </w:r>
    </w:p>
    <w:p>
      <w:pPr>
        <w:pStyle w:val="style0"/>
      </w:pPr>
      <w:r>
        <w:rPr>
          <w:rFonts w:ascii="Arial" w:cs="Times New Roman" w:eastAsia="Times New Roman" w:hAnsi="Arial"/>
          <w:b/>
          <w:color w:val="000000"/>
        </w:rPr>
        <w:t>Operational cost/scalability:</w:t>
      </w:r>
      <w:r>
        <w:rPr>
          <w:rFonts w:ascii="Arial" w:cs="Times New Roman" w:eastAsia="Times New Roman" w:hAnsi="Arial"/>
          <w:color w:val="000000"/>
        </w:rPr>
        <w:t xml:space="preserve"> </w:t>
      </w:r>
      <w:r>
        <w:rPr>
          <w:rFonts w:ascii="Arial" w:cs="Times New Roman" w:hAnsi="Arial"/>
          <w:color w:val="000000"/>
        </w:rPr>
        <w:t xml:space="preserve">As a point of comparison, a </w:t>
      </w:r>
      <w:r>
        <w:rPr>
          <w:rFonts w:ascii="Arial" w:cs="Times New Roman" w:hAnsi="Arial"/>
          <w:i/>
          <w:color w:val="000000"/>
        </w:rPr>
        <w:t>Wave Glider</w:t>
      </w:r>
      <w:r>
        <w:rPr>
          <w:rFonts w:ascii="Arial" w:cs="Times New Roman" w:hAnsi="Arial"/>
          <w:color w:val="000000"/>
        </w:rPr>
        <w:t xml:space="preserve"> ASV (Liquid Robotics, Sunnyvale, CA) costs MBARI about $900/day to operate; while MBARI's 41-meter </w:t>
      </w:r>
      <w:r>
        <w:rPr>
          <w:rFonts w:ascii="Arial" w:cs="Times New Roman" w:hAnsi="Arial"/>
          <w:i/>
          <w:color w:val="000000"/>
        </w:rPr>
        <w:t>RV</w:t>
      </w:r>
      <w:r>
        <w:rPr>
          <w:rFonts w:ascii="Arial" w:cs="Times New Roman" w:hAnsi="Arial"/>
          <w:color w:val="000000"/>
        </w:rPr>
        <w:t xml:space="preserve"> </w:t>
      </w:r>
      <w:r>
        <w:rPr>
          <w:rFonts w:ascii="Arial" w:cs="Times New Roman" w:hAnsi="Arial"/>
          <w:i/>
          <w:iCs/>
          <w:color w:val="000000"/>
        </w:rPr>
        <w:t>Rachel Carson</w:t>
      </w:r>
      <w:r>
        <w:rPr>
          <w:rFonts w:ascii="Arial" w:cs="Times New Roman" w:hAnsi="Arial"/>
          <w:color w:val="000000"/>
        </w:rPr>
        <w:t xml:space="preserve"> costs about $8,000/day. Due to lower cost of equipment and operation, multiple autonomous vehicles running multiple missions can be used at lower cost than one research vessel.</w:t>
      </w:r>
    </w:p>
    <w:p>
      <w:pPr>
        <w:pStyle w:val="style0"/>
      </w:pPr>
      <w:r>
        <w:rPr>
          <w:rFonts w:ascii="Arial" w:cs="Times New Roman" w:hAnsi="Arial"/>
          <w:b/>
          <w:color w:val="000000"/>
        </w:rPr>
        <w:t xml:space="preserve">Endurance: </w:t>
      </w:r>
      <w:r>
        <w:rPr>
          <w:rFonts w:ascii="Arial" w:cs="Times New Roman" w:hAnsi="Arial"/>
          <w:color w:val="000000"/>
        </w:rPr>
        <w:t xml:space="preserve">Some autonomous vehicles are capable of long deployments lasting weeks or even months, spanning thousands of kilometers; for example the </w:t>
      </w:r>
      <w:r>
        <w:rPr>
          <w:rFonts w:ascii="Arial" w:cs="Times New Roman" w:hAnsi="Arial"/>
          <w:i/>
          <w:color w:val="000000"/>
        </w:rPr>
        <w:t>AutoSub LR</w:t>
      </w:r>
      <w:r>
        <w:rPr>
          <w:rFonts w:ascii="Arial" w:cs="Times New Roman" w:hAnsi="Arial"/>
          <w:color w:val="000000"/>
        </w:rPr>
        <w:t xml:space="preserve"> (Furlong et al, 2012), the </w:t>
      </w:r>
      <w:r>
        <w:rPr>
          <w:rFonts w:ascii="Arial" w:cs="Times New Roman" w:hAnsi="Arial"/>
          <w:i/>
          <w:color w:val="000000"/>
        </w:rPr>
        <w:t>LRAUV</w:t>
      </w:r>
      <w:r>
        <w:rPr>
          <w:rFonts w:ascii="Arial" w:cs="Times New Roman" w:hAnsi="Arial"/>
          <w:color w:val="000000"/>
        </w:rPr>
        <w:t xml:space="preserve"> (Hobson et al, 2012), and the </w:t>
      </w:r>
      <w:r>
        <w:rPr>
          <w:rFonts w:ascii="Arial" w:cs="Times New Roman" w:hAnsi="Arial"/>
          <w:i/>
          <w:color w:val="000000"/>
        </w:rPr>
        <w:t>Spray</w:t>
      </w:r>
      <w:r>
        <w:rPr>
          <w:rFonts w:ascii="Arial" w:cs="Times New Roman" w:hAnsi="Arial"/>
          <w:color w:val="000000"/>
        </w:rPr>
        <w:t xml:space="preserve"> glider (Davis et al, 2002). These vehicles enable continuous presence in a region of interest, provide opportunities to observe microbial community changes over time, and enable quick response to events such as blooms.</w:t>
      </w:r>
    </w:p>
    <w:p>
      <w:pPr>
        <w:pStyle w:val="style0"/>
      </w:pPr>
      <w:r>
        <w:rPr>
          <w:rFonts w:ascii="Arial" w:cs="Times New Roman" w:hAnsi="Arial"/>
          <w:b/>
          <w:color w:val="000000"/>
        </w:rPr>
        <w:t xml:space="preserve">Persistent presence: </w:t>
      </w:r>
      <w:r>
        <w:rPr>
          <w:rFonts w:ascii="Arial" w:cs="Times New Roman" w:hAnsi="Arial"/>
          <w:color w:val="000000"/>
        </w:rPr>
        <w:t>The c</w:t>
      </w:r>
      <w:r>
        <w:rPr>
          <w:rFonts w:ascii="Arial" w:cs="Times New Roman" w:eastAsia="Times New Roman" w:hAnsi="Arial"/>
          <w:color w:val="000000"/>
        </w:rPr>
        <w:t xml:space="preserve">ombination of lower cost, scalability, and endurance can greatly enhance data gathering in spatial and temporal domains.  </w:t>
      </w:r>
    </w:p>
    <w:p>
      <w:pPr>
        <w:pStyle w:val="style0"/>
      </w:pPr>
      <w:r>
        <w:rPr>
          <w:rFonts w:ascii="Arial" w:cs="Times New Roman" w:hAnsi="Arial"/>
          <w:b/>
          <w:color w:val="000000"/>
        </w:rPr>
        <w:t xml:space="preserve">Access to extreme environments: </w:t>
      </w:r>
      <w:r>
        <w:rPr>
          <w:rFonts w:ascii="Arial" w:cs="Times New Roman" w:hAnsi="Arial"/>
          <w:color w:val="000000"/>
        </w:rPr>
        <w:t>Rapid environmental and microbial change is occurring underneath polar ice, yet direct access by manned vehicles or divers is difficult. Recent discovery of major phytoplankton blooms beneath Arctic ice in the Chukchi Sea (Arrigo et al, 2012) points to our current limited knowledge of these important ecosystems. AUVs have already performed CTD and ice-thickness surveys underneath Arctic and Antarctic sea ice (Wadhams et al, 2006, Williams et al, 2014), and a cytometer payload could enable under-ice microbial surveys.</w:t>
      </w:r>
    </w:p>
    <w:p>
      <w:pPr>
        <w:pStyle w:val="style0"/>
      </w:pPr>
      <w:r>
        <w:rPr/>
      </w:r>
    </w:p>
    <w:p>
      <w:pPr>
        <w:pStyle w:val="style0"/>
        <w:suppressAutoHyphens w:val="false"/>
      </w:pPr>
      <w:r>
        <w:rPr>
          <w:rFonts w:ascii="Arial" w:cs="Times New Roman" w:eastAsia="Times New Roman" w:hAnsi="Arial"/>
        </w:rPr>
        <w:t>These benefits could be utilized for many mobile cytometer applications, including the following projects evaluated at the Monterey Bay Aquarium Research Institute (MBARI).</w:t>
      </w:r>
    </w:p>
    <w:p>
      <w:pPr>
        <w:pStyle w:val="style0"/>
        <w:suppressAutoHyphens w:val="false"/>
      </w:pPr>
      <w:r>
        <w:rPr>
          <w:rFonts w:ascii="Arial" w:hAnsi="Arial"/>
          <w:b/>
        </w:rPr>
        <w:t>Controlled, Agile, and Novel Observing Network</w:t>
      </w:r>
      <w:r>
        <w:rPr>
          <w:rFonts w:ascii="Arial" w:cs="Times New Roman" w:eastAsia="Times New Roman" w:hAnsi="Arial"/>
          <w:b/>
        </w:rPr>
        <w:t xml:space="preserve"> (CANON):</w:t>
      </w:r>
      <w:r>
        <w:rPr>
          <w:rFonts w:ascii="Arial" w:cs="Times New Roman" w:eastAsia="Times New Roman" w:hAnsi="Arial"/>
        </w:rPr>
        <w:t xml:space="preserve"> This </w:t>
      </w:r>
      <w:r>
        <w:rPr>
          <w:rFonts w:ascii="Arial" w:hAnsi="Arial"/>
        </w:rPr>
        <w:t>MBARI</w:t>
      </w:r>
      <w:r>
        <w:rPr>
          <w:rFonts w:ascii="Arial" w:cs="Times New Roman" w:eastAsia="Times New Roman" w:hAnsi="Arial"/>
        </w:rPr>
        <w:t xml:space="preserve"> project aims to monitor microbial populations and their effects on ecosystems in and around Monterey Bay, emphasizing long-term measurements with autonomous platforms, vehicles and instruments (mbari.org, 2015). CANON includes studies of small phytoplankton (</w:t>
      </w:r>
      <w:r>
        <w:rPr>
          <w:rFonts w:ascii="Arial" w:cs="Times New Roman" w:eastAsia="Times New Roman" w:hAnsi="Arial"/>
          <w:i/>
          <w:iCs/>
        </w:rPr>
        <w:t>Prochlorococcus, Synechococcus</w:t>
      </w:r>
      <w:r>
        <w:rPr>
          <w:rFonts w:ascii="Arial" w:cs="Times New Roman" w:eastAsia="Times New Roman" w:hAnsi="Arial"/>
        </w:rPr>
        <w:t xml:space="preserve">, and eukaryotes) in offshore mesoscale gyres. Other studies emphasize the development lifecycle of larger cells and algal blooms in the inner bay, including potentially toxic </w:t>
      </w:r>
      <w:r>
        <w:rPr>
          <w:rFonts w:ascii="Arial" w:cs="Times New Roman" w:eastAsia="Times New Roman" w:hAnsi="Arial"/>
          <w:i/>
          <w:iCs/>
        </w:rPr>
        <w:t xml:space="preserve">Pseudo-nitzschia </w:t>
      </w:r>
      <w:r>
        <w:rPr>
          <w:rFonts w:ascii="Arial" w:cs="Times New Roman" w:eastAsia="Times New Roman" w:hAnsi="Arial"/>
        </w:rPr>
        <w:t xml:space="preserve">species. A mobile cytometer would complement physical, chemical sensors, samplers, and ecogenomic instruments such as the Environmental Sample Processor (ESP - see below for more details). </w:t>
      </w:r>
    </w:p>
    <w:p>
      <w:pPr>
        <w:pStyle w:val="style0"/>
        <w:suppressAutoHyphens w:val="false"/>
      </w:pPr>
      <w:r>
        <w:rPr>
          <w:rFonts w:ascii="Arial" w:cs="Times New Roman" w:eastAsia="Times New Roman" w:hAnsi="Arial"/>
          <w:b/>
        </w:rPr>
        <w:t>Microbial population changes in ice-covered Arctic waters</w:t>
      </w:r>
      <w:r>
        <w:rPr>
          <w:rFonts w:ascii="Arial" w:cs="Times New Roman" w:eastAsia="Times New Roman" w:hAnsi="Arial"/>
        </w:rPr>
        <w:t>. Li et al (2009) documented microbial population changes in the Arctic Ocean in concert with climate-driven changes, with picoplankton (less than 2 micrometers) replacing larger cells such as diatoms (2 - 20 micrometers) over a period of several years. These changes may be associated with thinning ice thickness and areal extent as well as freshening and stratification of surface water. Potential shifts in phytoplankton and bacteria community structure will have major repercussions on carbon sequestration at depth in the ocean (Forest et al. 2011). Thus far most sampling had been performed in open water, and much more would be learned from under-ice sampling with a mobile cytometer.</w:t>
      </w:r>
    </w:p>
    <w:p>
      <w:pPr>
        <w:pStyle w:val="style0"/>
        <w:suppressAutoHyphens w:val="false"/>
      </w:pPr>
      <w:r>
        <w:rPr>
          <w:rFonts w:ascii="Arial" w:cs="Times New Roman" w:eastAsia="Times New Roman" w:hAnsi="Arial"/>
        </w:rPr>
        <w:t> </w:t>
      </w:r>
    </w:p>
    <w:p>
      <w:pPr>
        <w:pStyle w:val="style0"/>
      </w:pPr>
      <w:r>
        <w:rPr>
          <w:rFonts w:ascii="Arial" w:cs="Times New Roman" w:hAnsi="Arial"/>
          <w:color w:val="000000"/>
        </w:rPr>
        <w:t>But before autonomous mobile cytometers become reality, we must also consider the technical challenges of operating instruments aboard autonomous vehicles:</w:t>
      </w:r>
    </w:p>
    <w:p>
      <w:pPr>
        <w:pStyle w:val="style0"/>
        <w:textAlignment w:val="baseline"/>
      </w:pPr>
      <w:r>
        <w:rPr>
          <w:rFonts w:ascii="Arial" w:cs="Times New Roman" w:hAnsi="Arial"/>
          <w:b/>
          <w:color w:val="000000"/>
        </w:rPr>
        <w:t>Power:</w:t>
      </w:r>
      <w:r>
        <w:rPr>
          <w:rFonts w:ascii="Arial" w:cs="Times New Roman" w:hAnsi="Arial"/>
          <w:color w:val="000000"/>
        </w:rPr>
        <w:t xml:space="preserve"> Energy is a precious commodity on most autonomous vehicles. Some of today’s marine cytometers consume more than 35W when sampling, and must sample for several minutes at least. These power levels could seriously decrease the endurance of small vehicles.</w:t>
      </w:r>
    </w:p>
    <w:p>
      <w:pPr>
        <w:pStyle w:val="style0"/>
        <w:textAlignment w:val="baseline"/>
      </w:pPr>
      <w:r>
        <w:rPr>
          <w:rFonts w:ascii="Arial" w:cs="Times New Roman" w:hAnsi="Arial"/>
          <w:b/>
          <w:color w:val="000000"/>
        </w:rPr>
        <w:t xml:space="preserve">Size: </w:t>
      </w:r>
      <w:r>
        <w:rPr>
          <w:rFonts w:ascii="Arial" w:cs="Times New Roman" w:hAnsi="Arial"/>
          <w:color w:val="000000"/>
        </w:rPr>
        <w:t>Even compact marine cytometers such as SeaFlow</w:t>
      </w:r>
      <w:r>
        <w:rPr>
          <w:rFonts w:ascii="Arial" w:cs="Times New Roman" w:hAnsi="Arial"/>
          <w:i/>
          <w:color w:val="000000"/>
        </w:rPr>
        <w:t xml:space="preserve"> </w:t>
      </w:r>
      <w:r>
        <w:rPr>
          <w:rFonts w:ascii="Arial" w:cs="Times New Roman" w:hAnsi="Arial"/>
          <w:color w:val="000000"/>
        </w:rPr>
        <w:t>(Swalwell et al, 2011) in its present configuration, are roughly the size of a large microwave oven, and exceed the payload capacity of many vehicles.</w:t>
      </w:r>
    </w:p>
    <w:p>
      <w:pPr>
        <w:pStyle w:val="style0"/>
        <w:textAlignment w:val="baseline"/>
      </w:pPr>
      <w:r>
        <w:rPr>
          <w:rFonts w:ascii="Arial" w:cs="Times New Roman" w:hAnsi="Arial"/>
          <w:b/>
          <w:color w:val="000000"/>
        </w:rPr>
        <w:t>Telemetry:</w:t>
      </w:r>
      <w:r>
        <w:rPr>
          <w:rFonts w:ascii="Arial" w:cs="Times New Roman" w:hAnsi="Arial"/>
          <w:color w:val="000000"/>
        </w:rPr>
        <w:t xml:space="preserve"> Some autonomous vehicles use cell phone networks close to shore but must use low bandwidth, expensive satellite links when far from shore or in remote regions. Limited telemetry links pose challenges for applications that require near real-time data telemetry to shore.  </w:t>
      </w:r>
    </w:p>
    <w:p>
      <w:pPr>
        <w:pStyle w:val="style0"/>
        <w:textAlignment w:val="baseline"/>
      </w:pPr>
      <w:r>
        <w:rPr>
          <w:rFonts w:ascii="Arial" w:cs="Times New Roman" w:hAnsi="Arial"/>
          <w:b/>
          <w:color w:val="000000"/>
        </w:rPr>
        <w:t xml:space="preserve">Environment: </w:t>
      </w:r>
      <w:r>
        <w:rPr>
          <w:rFonts w:ascii="Arial" w:cs="Times New Roman" w:hAnsi="Arial"/>
          <w:color w:val="000000"/>
        </w:rPr>
        <w:t xml:space="preserve">The vehicle and its cytometer should be operable within the depth and temperature range of the target phytoplankton, i.e. the photic zone; between 0 and about 200 meters, and from -1.8C to about 38C in the tropics. The instrument should be rugged enough to withstand mechanical shock and vibration during a deployment and recovery cycle, and should be operable within expected tilt/pitch angles during a deployment. </w:t>
      </w:r>
    </w:p>
    <w:p>
      <w:pPr>
        <w:pStyle w:val="style0"/>
        <w:textAlignment w:val="baseline"/>
      </w:pPr>
      <w:r>
        <w:rPr>
          <w:rFonts w:ascii="Arial" w:cs="Times New Roman" w:hAnsi="Arial"/>
          <w:b/>
          <w:color w:val="000000"/>
        </w:rPr>
        <w:t>Risk of vehicle loss:</w:t>
      </w:r>
      <w:r>
        <w:rPr>
          <w:rFonts w:ascii="Arial" w:cs="Times New Roman" w:hAnsi="Arial"/>
          <w:color w:val="000000"/>
        </w:rPr>
        <w:t xml:space="preserve"> Today’s cytometers generally cost on order of $100K and more; if the vehicle is lost, then so is an expensive instrument. High cytometer cost also discourages procurement of multiple instruments, e.g. for deployment on a fleet of vehicles. </w:t>
      </w:r>
    </w:p>
    <w:p>
      <w:pPr>
        <w:pStyle w:val="style0"/>
      </w:pPr>
      <w:r>
        <w:rPr/>
      </w:r>
    </w:p>
    <w:p>
      <w:pPr>
        <w:pStyle w:val="style0"/>
      </w:pPr>
      <w:r>
        <w:rPr>
          <w:rFonts w:ascii="Arial" w:cs="Times New Roman" w:eastAsia="Times New Roman" w:hAnsi="Arial"/>
          <w:color w:val="000000"/>
        </w:rPr>
        <w:t>Table 1 shows characteristic payload volume and power characteristics for just a few autonomous vehicles with endurance of a week or longer; images of the vehicles themselves are shown in Figure 3.</w:t>
      </w:r>
    </w:p>
    <w:p>
      <w:pPr>
        <w:pStyle w:val="style0"/>
      </w:pPr>
      <w:r>
        <w:rPr/>
      </w:r>
    </w:p>
    <w:p>
      <w:pPr>
        <w:pStyle w:val="style0"/>
      </w:pPr>
      <w:r>
        <w:rPr>
          <w:rFonts w:ascii="Arial" w:cs="Times New Roman" w:hAnsi="Arial"/>
          <w:color w:val="000000"/>
        </w:rPr>
        <w:t>While these conditions are daunting, we note that increasingly sophisticated instruments are being integrated with autonomous vehicles. MBARI's Environmental Sample Processor (ESP) is an eco-genomic “laboratory in a can”, processing samples with heat and reagents to extract and analyze microbial genetic material (Scholin, 2013). The instrument is made possible by low-power electronics, microfluidic technologies, and stringent power-management strategies. The 3</w:t>
      </w:r>
      <w:r>
        <w:rPr>
          <w:rFonts w:ascii="Arial" w:cs="Times New Roman" w:hAnsi="Arial"/>
          <w:color w:val="000000"/>
          <w:vertAlign w:val="superscript"/>
        </w:rPr>
        <w:t>rd</w:t>
      </w:r>
      <w:r>
        <w:rPr>
          <w:rFonts w:ascii="Arial" w:cs="Times New Roman" w:hAnsi="Arial"/>
          <w:color w:val="000000"/>
        </w:rPr>
        <w:t xml:space="preserve"> generation 3G-ESP is under development for low power mobile platforms, MBARI's </w:t>
      </w:r>
      <w:r>
        <w:rPr>
          <w:rFonts w:ascii="Arial" w:cs="Times New Roman" w:hAnsi="Arial"/>
          <w:iCs/>
          <w:color w:val="000000"/>
        </w:rPr>
        <w:t>Long Range AUV</w:t>
      </w:r>
      <w:r>
        <w:rPr>
          <w:rFonts w:ascii="Arial" w:cs="Times New Roman" w:hAnsi="Arial"/>
          <w:i/>
          <w:iCs/>
          <w:color w:val="000000"/>
        </w:rPr>
        <w:t xml:space="preserve"> (LRAUV)</w:t>
      </w:r>
      <w:r>
        <w:rPr>
          <w:rFonts w:ascii="Arial" w:cs="Times New Roman" w:hAnsi="Arial"/>
          <w:color w:val="000000"/>
        </w:rPr>
        <w:t xml:space="preserve"> in particular. 3G-ESP is contained in a nose section 28 cm diameter by 61 cm long, draws between 4 and 20 watts, and is rated to 50 meters depth. The prototype underwent successful initial sea trials in Monterey Bay in early 2015. Based on the 3G-ESP and other examples we believe that development of small low-power cytometers for autonomous vehicles is possible in the near future.</w:t>
      </w:r>
    </w:p>
    <w:p>
      <w:pPr>
        <w:pStyle w:val="style0"/>
      </w:pPr>
      <w:r>
        <w:rPr/>
      </w:r>
    </w:p>
    <w:p>
      <w:pPr>
        <w:pStyle w:val="style0"/>
      </w:pPr>
      <w:r>
        <w:rPr/>
      </w:r>
    </w:p>
    <w:p>
      <w:pPr>
        <w:pStyle w:val="style0"/>
      </w:pPr>
      <w:r>
        <w:rPr>
          <w:rFonts w:ascii="Arial" w:cs="Times New Roman" w:eastAsia="Times New Roman" w:hAnsi="Arial"/>
          <w:b/>
          <w:bCs/>
          <w:color w:val="000000"/>
        </w:rPr>
        <w:t>&lt;&lt;H2&gt;&gt;Marine Cytometers</w:t>
      </w:r>
    </w:p>
    <w:p>
      <w:pPr>
        <w:pStyle w:val="style0"/>
      </w:pPr>
      <w:r>
        <w:rPr>
          <w:rFonts w:ascii="Arial" w:cs="Times New Roman" w:eastAsia="Times New Roman" w:hAnsi="Arial"/>
          <w:color w:val="000000"/>
        </w:rPr>
        <w:t xml:space="preserve">At this point only one flow cytometer integrated with an AUV has been reported (Cunningham, 2003). This report describes a flow cytometer integrated with the </w:t>
      </w:r>
      <w:r>
        <w:rPr>
          <w:rFonts w:ascii="Arial" w:cs="Times New Roman" w:eastAsia="Times New Roman" w:hAnsi="Arial"/>
          <w:i/>
          <w:color w:val="000000"/>
        </w:rPr>
        <w:t>AutoSub</w:t>
      </w:r>
      <w:r>
        <w:rPr>
          <w:rFonts w:ascii="Arial" w:cs="Times New Roman" w:eastAsia="Times New Roman" w:hAnsi="Arial"/>
          <w:color w:val="000000"/>
        </w:rPr>
        <w:t xml:space="preserve"> AUV, which measured microbial populations across a bloom front in the North Atlantic. </w:t>
      </w:r>
      <w:r>
        <w:rPr>
          <w:rFonts w:ascii="Arial" w:cs="Times New Roman" w:eastAsia="Times New Roman" w:hAnsi="Arial"/>
          <w:i/>
          <w:color w:val="000000"/>
        </w:rPr>
        <w:t>AutoSub</w:t>
      </w:r>
      <w:r>
        <w:rPr>
          <w:rFonts w:ascii="Arial" w:cs="Times New Roman" w:eastAsia="Times New Roman" w:hAnsi="Arial"/>
          <w:color w:val="000000"/>
        </w:rPr>
        <w:t xml:space="preserve"> was equipped with a basic science package as well as a water sampler and was deployed into area of interest defined by SeaWIFS satellite ocean color imaging. Cytometric data recorded during this brief hours-long deployment were largely consistent with onboard instruments as well as lab analysis of water samples. </w:t>
      </w:r>
    </w:p>
    <w:p>
      <w:pPr>
        <w:pStyle w:val="style0"/>
      </w:pPr>
      <w:r>
        <w:rPr/>
      </w:r>
    </w:p>
    <w:p>
      <w:pPr>
        <w:pStyle w:val="style0"/>
      </w:pPr>
      <w:r>
        <w:rPr>
          <w:rFonts w:ascii="Arial" w:cs="Times New Roman" w:eastAsia="Times New Roman" w:hAnsi="Arial"/>
          <w:color w:val="000000"/>
        </w:rPr>
        <w:t xml:space="preserve">Since 2003, several other cytometers have been developed for autonomous applications aboard ships or stationary platforms such as piers, buoys, and cabled observatories. </w:t>
      </w:r>
    </w:p>
    <w:p>
      <w:pPr>
        <w:pStyle w:val="style0"/>
      </w:pPr>
      <w:r>
        <w:rPr/>
      </w:r>
    </w:p>
    <w:p>
      <w:pPr>
        <w:pStyle w:val="style0"/>
      </w:pPr>
      <w:r>
        <w:rPr>
          <w:rFonts w:ascii="Arial" w:cs="Times New Roman" w:hAnsi="Arial"/>
        </w:rPr>
        <w:t xml:space="preserve">The SeaFlow cytometer is designed to automatically acquire data over long periods with minimal human interaction; its primary deployment mode is aboard ships of opportunity where the instrument continually samples water from the ship's intake for weeks at a time (Swalwell et al, 2011). The SeaFlow "virtual core" design eliminates the need for sheath fluid by adding two additional detectors to determine when a cell is optimally positioned for optical measurement. The instrument analyzes cells in the size range of 0.5 - 20 micrometers (pico- and nanoplankton), including </w:t>
      </w:r>
      <w:r>
        <w:rPr>
          <w:rFonts w:ascii="Arial" w:cs="Times New Roman" w:hAnsi="Arial"/>
          <w:i/>
        </w:rPr>
        <w:t>Prochlorococcus</w:t>
      </w:r>
      <w:r>
        <w:rPr>
          <w:rFonts w:ascii="Arial" w:cs="Times New Roman" w:hAnsi="Arial"/>
        </w:rPr>
        <w:t xml:space="preserve"> and </w:t>
      </w:r>
      <w:r>
        <w:rPr>
          <w:rFonts w:ascii="Arial" w:cs="Times New Roman" w:hAnsi="Arial"/>
          <w:i/>
        </w:rPr>
        <w:t>Synechococcus</w:t>
      </w:r>
      <w:r>
        <w:rPr>
          <w:rFonts w:ascii="Arial" w:cs="Times New Roman" w:hAnsi="Arial"/>
        </w:rPr>
        <w:t xml:space="preserve">. SeaFlow enables extended two-dimensional surveys of near surface water (Figure 4). Palevsky et al (2013) used continuous underway SeaFlow data to help determine phytoplankton's contribution to the carbon dioxide air-sea flux in Alaskan waters.  </w:t>
      </w:r>
    </w:p>
    <w:p>
      <w:pPr>
        <w:pStyle w:val="style0"/>
      </w:pPr>
      <w:r>
        <w:rPr/>
      </w:r>
    </w:p>
    <w:p>
      <w:pPr>
        <w:pStyle w:val="style0"/>
      </w:pPr>
      <w:r>
        <w:rPr>
          <w:rFonts w:ascii="Arial" w:cs="Times New Roman" w:hAnsi="Arial"/>
        </w:rPr>
        <w:t>Imaging Flow Cytobot (IFCB) is designed to automatically image, quantify and identify cells larger than 5 micrometers (Olson and Sosik, 2007). IFCB typically draws in a 5 ml water sample every twenty minutes, and triggers a flash lamp and camera when scatter or fluorescence photomultiplier tube (PMT) signal exceeds a preset threshold. Image scale is typically about 0.3 micrometers per pixel, allowing many cells to be analyzed to the genus or even species level (Figure 5). IFCB has been deployed for up to six months on piers and cabled observatories. Campbell et al (2010) describe detection of toxic algal blooms (</w:t>
      </w:r>
      <w:r>
        <w:rPr>
          <w:rFonts w:ascii="Arial" w:cs="Times New Roman" w:hAnsi="Arial"/>
          <w:i/>
        </w:rPr>
        <w:t>Dinophysis</w:t>
      </w:r>
      <w:r>
        <w:rPr>
          <w:rFonts w:ascii="Arial" w:cs="Times New Roman" w:hAnsi="Arial"/>
        </w:rPr>
        <w:t xml:space="preserve">) with IFCB in a Texas estuary; public health officials quickly responded to the detection by suspending shellfish harvesting until the bloom subsided. IFCB draws considerable electrical power (35W continuously) and generates several gigabytes of data per day; thus the instrument is usually deployed at locations with wired connections to shore providing power and data. IFCB was recently deployed on a moored raft in Salt Pond (Nauset, MA), with no wired shore connection. The raft was equipped with solar panels, a bank of batteries and a gasoline generator that automatically recharged the batteries as required. Communication to shore was via radio link to a shore-based Internet connection (Olson, personal communication). </w:t>
      </w:r>
    </w:p>
    <w:p>
      <w:pPr>
        <w:pStyle w:val="style0"/>
      </w:pPr>
      <w:r>
        <w:rPr/>
      </w:r>
    </w:p>
    <w:p>
      <w:pPr>
        <w:pStyle w:val="style0"/>
      </w:pPr>
      <w:r>
        <w:rPr>
          <w:rFonts w:ascii="Arial" w:cs="Times New Roman" w:eastAsia="Times New Roman" w:hAnsi="Arial"/>
          <w:b/>
          <w:color w:val="000000"/>
        </w:rPr>
        <w:t>&lt;&lt;H1&gt;&gt;THE FUTURE</w:t>
      </w:r>
    </w:p>
    <w:p>
      <w:pPr>
        <w:pStyle w:val="style0"/>
      </w:pPr>
      <w:r>
        <w:rPr>
          <w:rFonts w:ascii="Arial" w:cs="Times New Roman" w:hAnsi="Arial"/>
        </w:rPr>
        <w:t xml:space="preserve">Electronics, lasers, software and fluidics have evolved in the years since the first </w:t>
      </w:r>
      <w:r>
        <w:rPr>
          <w:rFonts w:ascii="Arial" w:cs="Times New Roman" w:hAnsi="Arial"/>
          <w:i/>
        </w:rPr>
        <w:t>AutoSub</w:t>
      </w:r>
      <w:r>
        <w:rPr>
          <w:rFonts w:ascii="Arial" w:cs="Times New Roman" w:hAnsi="Arial"/>
        </w:rPr>
        <w:t xml:space="preserve"> cytometer deployments, resulting in smaller, lower-power instruments that will likely be compatible with mobile marine robots in the near future.</w:t>
      </w:r>
    </w:p>
    <w:p>
      <w:pPr>
        <w:pStyle w:val="style0"/>
      </w:pPr>
      <w:r>
        <w:rPr/>
      </w:r>
    </w:p>
    <w:p>
      <w:pPr>
        <w:pStyle w:val="style0"/>
      </w:pPr>
      <w:r>
        <w:rPr>
          <w:rFonts w:ascii="Arial" w:cs="Times New Roman" w:hAnsi="Arial"/>
          <w:color w:val="000000"/>
        </w:rPr>
        <w:t xml:space="preserve">Sosik and Olson are currently modifying their Imaging Flow Cytobot for integration with autonomous surface vehicles such as </w:t>
      </w:r>
      <w:r>
        <w:rPr>
          <w:rFonts w:ascii="Arial" w:cs="Times New Roman" w:hAnsi="Arial"/>
          <w:i/>
          <w:color w:val="000000"/>
        </w:rPr>
        <w:t xml:space="preserve">Wave Glider, </w:t>
      </w:r>
      <w:r>
        <w:rPr>
          <w:rFonts w:ascii="Arial" w:cs="Times New Roman" w:hAnsi="Arial"/>
          <w:color w:val="000000"/>
        </w:rPr>
        <w:t>autonomou</w:t>
      </w:r>
      <w:r>
        <w:rPr>
          <w:rFonts w:ascii="Arial" w:cs="Times New Roman" w:hAnsi="Arial"/>
          <w:i/>
          <w:color w:val="000000"/>
        </w:rPr>
        <w:t xml:space="preserve">s JetYak </w:t>
      </w:r>
      <w:r>
        <w:rPr>
          <w:rFonts w:ascii="Arial" w:cs="Times New Roman" w:hAnsi="Arial"/>
          <w:color w:val="000000"/>
        </w:rPr>
        <w:t>(whoi.edu, 2014),</w:t>
      </w:r>
      <w:r>
        <w:rPr>
          <w:rFonts w:ascii="Arial" w:cs="Times New Roman" w:hAnsi="Arial"/>
          <w:i/>
          <w:color w:val="000000"/>
        </w:rPr>
        <w:t xml:space="preserve"> </w:t>
      </w:r>
      <w:r>
        <w:rPr>
          <w:rFonts w:ascii="Arial" w:cs="Times New Roman" w:hAnsi="Arial"/>
          <w:color w:val="000000"/>
        </w:rPr>
        <w:t>and</w:t>
      </w:r>
      <w:r>
        <w:rPr>
          <w:rFonts w:ascii="Arial" w:cs="Times New Roman" w:hAnsi="Arial"/>
          <w:i/>
          <w:color w:val="000000"/>
        </w:rPr>
        <w:t xml:space="preserve"> AutoNaut</w:t>
      </w:r>
      <w:r>
        <w:rPr>
          <w:rFonts w:ascii="Arial" w:cs="Times New Roman" w:hAnsi="Arial"/>
          <w:color w:val="000000"/>
        </w:rPr>
        <w:t xml:space="preserve"> (AutonautUsv.com, 2015). The instrument will be towed behind the vehicle at a depth of several meters. They anticipate the vehicle will provide sufficient power to allow sampling by the instrument once every 20 minutes. All raw data and images will be stored onboard for post-recovery analysis. Selected images and potentially processed data will be returned to shore over the available telemetry channels in near real-time; 3G/4G cellular modem (0.5-4 Mbps) in coastal areas, Iridium satellite (2400 bps) in more remote regions (Sosik, personal communication). </w:t>
      </w:r>
    </w:p>
    <w:p>
      <w:pPr>
        <w:pStyle w:val="style0"/>
      </w:pPr>
      <w:r>
        <w:rPr/>
      </w:r>
    </w:p>
    <w:p>
      <w:pPr>
        <w:pStyle w:val="style0"/>
        <w:widowControl/>
      </w:pPr>
      <w:r>
        <w:rPr>
          <w:rFonts w:ascii="Arial" w:cs="Times New Roman" w:hAnsi="Arial"/>
          <w:color w:val="000000"/>
        </w:rPr>
        <w:t xml:space="preserve">While the Imaging Flow Cytobot will collect invaluable data from near-surface waters, the instrument is currently too large and consumes too much power for a small, long duration AUVs such as </w:t>
      </w:r>
      <w:r>
        <w:rPr>
          <w:rFonts w:ascii="Arial" w:cs="Times New Roman" w:hAnsi="Arial"/>
          <w:i/>
          <w:color w:val="000000"/>
        </w:rPr>
        <w:t>LRAUV</w:t>
      </w:r>
      <w:r>
        <w:rPr>
          <w:rFonts w:ascii="Arial" w:cs="Times New Roman" w:hAnsi="Arial"/>
          <w:color w:val="000000"/>
        </w:rPr>
        <w:t xml:space="preserve">, capable of surveys throughout the photic zone. New marine cytometers now under development begin to address these AUV constraints. </w:t>
      </w:r>
      <w:r>
        <w:rPr>
          <w:rFonts w:ascii="Arial" w:cs="Times New Roman" w:hAnsi="Arial"/>
        </w:rPr>
        <w:t>J. Swalwell of the University of Washington is developing an "immersion flow cytometer" that increases signal-to-noise, simplifies flow cell design, and potentially lowers cost (US Provisional Patent Application Serial No. 62/101,036). The instrument utilizes a low-cost primary ball lens with high index of refraction that is partly immersed in the seawater sample. Analogous to oil or water immersion microscopy, the immersion results in an estimated 60% higher numerical aperture than found in SeaFlow and Influx (BD Biosciences, San Jose CA) cytometers. Chromatic aberration in the ball lens causes laser and fluorescent colors to be dispersed behind the lens, similar to the effects of a prism or grating. Filters and detectors for the wavelengths of interest can be optimally positioned behind the lens, resulting in lower contamination by scattered light at each wavelength and a corresponding signal-to-noise increase. Since the primary lens is immersed directly in the sample, the need for small orifices and sample-delivery tubing may be reduced or eliminated. The instrument utilizes the same "virtual core" technology as the SeaFlow cytometer (Swalwell et al, 2011), eliminating the need for sheath fluid. The cheaper lens, improved signal-to-noise, and simplified fluidic design is expected to result in a smaller (shoebox sized), lower power (roughly 15W) and lower cost instrument (Swalwell, personal communication), with a high potential for deployment on an autonomous vehicle.</w:t>
      </w:r>
    </w:p>
    <w:p>
      <w:pPr>
        <w:pStyle w:val="style0"/>
      </w:pPr>
      <w:r>
        <w:rPr/>
      </w:r>
    </w:p>
    <w:p>
      <w:pPr>
        <w:pStyle w:val="style0"/>
      </w:pPr>
      <w:r>
        <w:rPr>
          <w:rFonts w:ascii="Arial" w:cs="Times New Roman" w:hAnsi="Arial"/>
        </w:rPr>
        <w:t xml:space="preserve">Wu et al (2013) describe </w:t>
      </w:r>
      <w:r>
        <w:rPr>
          <w:rFonts w:ascii="Arial" w:cs="Times New Roman" w:eastAsia="Ubuntu" w:hAnsi="Arial"/>
        </w:rPr>
        <w:t>an imaging approach where a plane of 450 nm laser light (“light sheet”) is used to excite cross-sectional fluorescent images, acquired sequentially, as phytoplankton flow through the light sheet.</w:t>
      </w:r>
      <w:r>
        <w:rPr>
          <w:rFonts w:ascii="Arial" w:cs="Times New Roman" w:hAnsi="Arial"/>
        </w:rPr>
        <w:t xml:space="preserve"> The instrument generates an integrated cross sectional image of each cell, and is capable of flow rates of at least 1 ml/minute, which is four times the flow rate of Imaging Flow Cytobot. The image quality is such that cells larger than about 5 micrometers can often be taxonomically identified; Orientation of the cells can vary as they pass through the light sheet, and the authors discuss taxonomic identification approaches that take this into account. They intend to miniaturize their prototype such that it is compatible with small autonomous platforms such as moorings and AUVs (R. Chan, personal communication).</w:t>
      </w:r>
    </w:p>
    <w:p>
      <w:pPr>
        <w:pStyle w:val="style0"/>
      </w:pPr>
      <w:r>
        <w:rPr/>
      </w:r>
    </w:p>
    <w:p>
      <w:pPr>
        <w:pStyle w:val="style0"/>
      </w:pPr>
      <w:r>
        <w:rPr>
          <w:rFonts w:ascii="Arial" w:cs="Times New Roman" w:hAnsi="Arial"/>
        </w:rPr>
        <w:t xml:space="preserve">Though it does not qualify as a "traditional" cytometer, holographic microscopy is another technique that automatically measures individual cell optical characteristics. Conventional microscope optics is replaced by a laser, pinhole, and CCD detector. The device acquires holograms containing three-dimensional information from particles within the analyzed volume, eliminating the need to physically align the cells in single-file. Cell images can be reconstructed into multiple image planes. Graham and Smith (2010) describe a submersible holographic microscope with 7.4 micrometer spatial resolution; a commercial version of the instrument has been integrated with MBARI's </w:t>
      </w:r>
      <w:r>
        <w:rPr>
          <w:rFonts w:ascii="Arial" w:cs="Times New Roman" w:hAnsi="Arial"/>
          <w:i/>
        </w:rPr>
        <w:t>Dorado</w:t>
      </w:r>
      <w:r>
        <w:rPr>
          <w:rFonts w:ascii="Arial" w:cs="Times New Roman" w:hAnsi="Arial"/>
        </w:rPr>
        <w:t xml:space="preserve"> AUV and is being evaluated for analysis of large phytoplankton and zooplankton (sequoiasci.com, 2015).  Bochdansky et al (2013) describe a submersible instrument that acquires several holograms per second; a commercial version of this instrument claims sub-micron spatial resolution (4deep.com, 2015); its physical dimensions of 30 cm length and 10 cm diameter make it a potential candidate for integration with a small autonomous vehicle. </w:t>
      </w:r>
    </w:p>
    <w:p>
      <w:pPr>
        <w:pStyle w:val="style0"/>
      </w:pPr>
      <w:r>
        <w:rPr/>
      </w:r>
    </w:p>
    <w:p>
      <w:pPr>
        <w:pStyle w:val="style0"/>
      </w:pPr>
      <w:r>
        <w:rPr>
          <w:rFonts w:ascii="Arial" w:cs="Times New Roman" w:hAnsi="Arial"/>
        </w:rPr>
        <w:t xml:space="preserve">Small low-powered cytometers may someday be capable of the many applications that require cell pre-staining and sorting.  Recent advances in microfluidics and manipulation techniques embodied by small ecogenomic sensors such as the AUV-integrated Environmental Sample Processor may point the way in this regard (Scholin, 2013). </w:t>
      </w:r>
    </w:p>
    <w:p>
      <w:pPr>
        <w:pStyle w:val="style0"/>
      </w:pPr>
      <w:r>
        <w:rPr>
          <w:rFonts w:ascii="Arial" w:cs="Times New Roman" w:hAnsi="Arial"/>
        </w:rPr>
        <w:t xml:space="preserve"> </w:t>
      </w:r>
    </w:p>
    <w:p>
      <w:pPr>
        <w:pStyle w:val="style0"/>
      </w:pPr>
      <w:r>
        <w:rPr>
          <w:rFonts w:ascii="Arial" w:cs="Times New Roman" w:hAnsi="Arial"/>
        </w:rPr>
        <w:t xml:space="preserve">Consumer markets of electronics such as mobile phones and computers are rapidly driving the miniaturization and cost-reduction of batteries, processors, cameras, and other sensors. Small, simple low-cost imaging cytometers have been implemented on mobile phones for blood analysis and other medical applications in the developing world (Mudanyali et al, 2012). Perhaps some of these innovations could be explored for marine applications as well, that might dramatically lower instrument cost. </w:t>
      </w:r>
    </w:p>
    <w:p>
      <w:pPr>
        <w:pStyle w:val="style0"/>
      </w:pPr>
      <w:r>
        <w:rPr/>
      </w:r>
    </w:p>
    <w:p>
      <w:pPr>
        <w:pStyle w:val="style37"/>
      </w:pPr>
      <w:r>
        <w:rPr>
          <w:rFonts w:ascii="Arial" w:hAnsi="Arial"/>
          <w:sz w:val="24"/>
          <w:szCs w:val="24"/>
        </w:rPr>
        <w:t>Once a cytometer is integrated with a vehicle, "adaptive sampling" could be used to conserve power and telemetry bandwidth, turning on the instrument only when there is likely something interesting to sample. Zhang et al (</w:t>
      </w:r>
      <w:r>
        <w:rPr>
          <w:rFonts w:ascii="Arial" w:hAnsi="Arial"/>
          <w:color w:val="000000"/>
          <w:sz w:val="24"/>
          <w:szCs w:val="24"/>
        </w:rPr>
        <w:t xml:space="preserve">2010) describe water sampling of thin phytoplankton layers by MBARI’s </w:t>
      </w:r>
      <w:r>
        <w:rPr>
          <w:rFonts w:ascii="Arial" w:hAnsi="Arial"/>
          <w:i/>
          <w:iCs/>
          <w:color w:val="000000"/>
          <w:sz w:val="24"/>
          <w:szCs w:val="24"/>
        </w:rPr>
        <w:t>Dorado</w:t>
      </w:r>
      <w:r>
        <w:rPr>
          <w:rFonts w:ascii="Arial" w:hAnsi="Arial"/>
          <w:color w:val="000000"/>
          <w:sz w:val="24"/>
          <w:szCs w:val="24"/>
        </w:rPr>
        <w:t xml:space="preserve"> AUV. The AUV flies a vertical saw-tooth profile through regions that may contain layers, and their algorithm triggers a water sampling bottle when fluorescence and backscatter sensors indicate that the vehicle is moving through the center of a</w:t>
      </w:r>
      <w:bookmarkStart w:id="0" w:name="_GoBack"/>
      <w:bookmarkEnd w:id="0"/>
      <w:r>
        <w:rPr>
          <w:rFonts w:ascii="Arial" w:hAnsi="Arial"/>
          <w:color w:val="000000"/>
          <w:sz w:val="24"/>
          <w:szCs w:val="24"/>
        </w:rPr>
        <w:t xml:space="preserve"> layer. Godin et al (2012) describe an algorithm to track moving patches of phytoplankton. The algorithm adjusts vehicle speed, heading and depth based on the chlorophyll signal from an onboard fluorometer, enabling the vehicle to remain near the centroid of the phytoplankton patch as it drifts with the current. The algorithm could be adapted to power on a cytometer only when the vehicle is in a patch, e.g. to allow the instrument to capture the growth and decline of microbes with time. </w:t>
      </w:r>
    </w:p>
    <w:p>
      <w:pPr>
        <w:pStyle w:val="style0"/>
      </w:pPr>
      <w:r>
        <w:rPr/>
      </w:r>
    </w:p>
    <w:p>
      <w:pPr>
        <w:pStyle w:val="style37"/>
      </w:pPr>
      <w:r>
        <w:rPr>
          <w:rFonts w:ascii="Arial" w:hAnsi="Arial"/>
          <w:color w:val="000000"/>
          <w:sz w:val="24"/>
          <w:szCs w:val="24"/>
        </w:rPr>
        <w:t xml:space="preserve">Some applications require real-time telemetry of cytometer data to shore, e.g. to issue health warnings in case of a harmful algal bloom. But many cytometers generate gigabytes of raw data each day, and telemetry of this data volume is problematic. In coastal regions the vehicle may use a 3G/4G cell modem, but beyond 100 km from shore an Iridium satellite link (2400 bps, compressed) may be the only option (Kocak and Clark, 2013), although faster satellite links may be available in the near future. These slow links can result in very long transmission times, high modem energy consumption, high airtime costs, and long surface times for autonomous vehicles.  Instead of telemetering the entire dataset, onboard processing could return a brief data summary. </w:t>
      </w:r>
      <w:r>
        <w:rPr>
          <w:rFonts w:ascii="Arial" w:hAnsi="Arial"/>
          <w:sz w:val="24"/>
          <w:szCs w:val="24"/>
        </w:rPr>
        <w:t xml:space="preserve">In the case of cytometer fluorescence and scatter data, onboard cluster analysis could produce a simple list of detected taxa and their abundance(Aghaeepour et al, 2013). Alternatively </w:t>
      </w:r>
      <w:r>
        <w:rPr>
          <w:rFonts w:ascii="Arial" w:hAnsi="Arial"/>
          <w:color w:val="000000"/>
          <w:sz w:val="24"/>
          <w:szCs w:val="24"/>
        </w:rPr>
        <w:t xml:space="preserve">Li (1997) describes a “cytometric diversity index" in the form of a few floating point numbers that is calculated based on light scatter and chlorophyll fluorescence, and can be used to estimate the structure of phytoplankton communities in real-time, e.g. to track blooms or biological fronts. In the case of image data, </w:t>
      </w:r>
      <w:r>
        <w:rPr>
          <w:rFonts w:ascii="Arial" w:hAnsi="Arial"/>
          <w:sz w:val="24"/>
          <w:szCs w:val="24"/>
        </w:rPr>
        <w:t>Sosik and Olsen (2007) describe image processing "machine learning" software that classifies individual phytoplankton cells to the genus or species level, based on size, shape, symmetry, texture and other characteristics. Their software currently runs on shore-side machines, but they hope to adapt it to the smaller processors on autonomous vehicles.</w:t>
      </w:r>
    </w:p>
    <w:p>
      <w:pPr>
        <w:pStyle w:val="style0"/>
      </w:pPr>
      <w:r>
        <w:rPr/>
      </w:r>
    </w:p>
    <w:p>
      <w:pPr>
        <w:pStyle w:val="style0"/>
      </w:pPr>
      <w:r>
        <w:rPr>
          <w:rFonts w:ascii="Arial" w:cs="Times New Roman" w:hAnsi="Arial"/>
          <w:b/>
        </w:rPr>
        <w:t>&lt;&lt;H1&gt;&gt;Acknowledgements</w:t>
      </w:r>
    </w:p>
    <w:p>
      <w:pPr>
        <w:pStyle w:val="style0"/>
      </w:pPr>
      <w:r>
        <w:rPr>
          <w:rFonts w:ascii="Arial" w:cs="Times New Roman" w:hAnsi="Arial"/>
        </w:rPr>
        <w:t>The authors wish to thank Brent Jones, Brian Kieft, Yanwu Zhang, Amy Zimmerman, and Thom Maughan from MBARI, Jim Bellingham, Heidi Sosik, and Rob Olson  from WHOI, George Dubelar (CytoBuoy b.v.), Jeffrey T Sherman (UCSD), Harry Nelson (Fluid Imaging Technologies), Stephen Jones and John Samson (4Deep) for personal communication regarding vehicle and instrument specifics and their latest research.</w:t>
      </w:r>
    </w:p>
    <w:p>
      <w:pPr>
        <w:pStyle w:val="style0"/>
        <w:widowControl/>
        <w:tabs>
          <w:tab w:leader="none" w:pos="709" w:val="left"/>
          <w:tab w:leader="none" w:pos="720" w:val="left"/>
        </w:tabs>
        <w:suppressAutoHyphens w:val="false"/>
      </w:pPr>
      <w:r>
        <w:rPr/>
      </w:r>
    </w:p>
    <w:p>
      <w:pPr>
        <w:pStyle w:val="style0"/>
        <w:pageBreakBefore/>
      </w:pPr>
      <w:r>
        <w:rPr/>
      </w:r>
    </w:p>
    <w:tbl>
      <w:tblPr>
        <w:jc w:val="left"/>
        <w:tblInd w:type="dxa" w:w="-612"/>
        <w:tblBorders>
          <w:top w:color="000001" w:space="0" w:sz="6" w:val="single"/>
          <w:left w:color="000001" w:space="0" w:sz="6" w:val="single"/>
          <w:bottom w:color="000001" w:space="0" w:sz="6" w:val="single"/>
          <w:right w:color="000001" w:space="0" w:sz="6" w:val="single"/>
        </w:tblBorders>
      </w:tblPr>
      <w:tblGrid>
        <w:gridCol w:w="2279"/>
        <w:gridCol w:w="2759"/>
        <w:gridCol w:w="2654"/>
        <w:gridCol w:w="3242"/>
      </w:tblGrid>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i/>
                <w:iCs/>
                <w:color w:val="000000"/>
              </w:rPr>
              <w:t>Wave Glider SV3</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i/>
                <w:iCs/>
                <w:color w:val="000000"/>
              </w:rPr>
              <w:t>Spray</w:t>
            </w:r>
            <w:r>
              <w:rPr>
                <w:rFonts w:ascii="Arial" w:cs="Times New Roman" w:hAnsi="Arial"/>
                <w:color w:val="000000"/>
              </w:rPr>
              <w:t xml:space="preserve"> glider</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i/>
                <w:iCs/>
                <w:color w:val="000000"/>
              </w:rPr>
              <w:t>Long Range AUV</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color w:val="000000"/>
              </w:rPr>
              <w:t>Type</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wave-propelled autonomous surface vehicle</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buoyancy-driven glider</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propeller-buoyancy hybrid</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color w:val="000000"/>
              </w:rPr>
              <w:t>Approximate payload dimensions (cm)</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 xml:space="preserve">2 x deck boxes: </w:t>
            </w:r>
          </w:p>
          <w:p>
            <w:pPr>
              <w:pStyle w:val="style0"/>
              <w:keepLines/>
              <w:jc w:val="center"/>
            </w:pPr>
            <w:r>
              <w:rPr>
                <w:rFonts w:ascii="Arial" w:cs="Times New Roman" w:eastAsia="Times New Roman" w:hAnsi="Arial"/>
              </w:rPr>
              <w:t xml:space="preserve">380x380x127 </w:t>
            </w:r>
          </w:p>
          <w:p>
            <w:pPr>
              <w:pStyle w:val="style0"/>
              <w:keepLines/>
              <w:jc w:val="center"/>
            </w:pPr>
            <w:r>
              <w:rPr>
                <w:rFonts w:ascii="Arial" w:cs="Times New Roman" w:eastAsia="Times New Roman" w:hAnsi="Arial"/>
              </w:rPr>
              <w:t xml:space="preserve">1 x deck box10x37x17 </w:t>
            </w:r>
          </w:p>
          <w:p>
            <w:pPr>
              <w:pStyle w:val="style0"/>
              <w:keepLines/>
              <w:jc w:val="center"/>
            </w:pPr>
            <w:r>
              <w:rPr>
                <w:rFonts w:ascii="Arial" w:cs="Times New Roman" w:eastAsia="Times New Roman" w:hAnsi="Arial"/>
              </w:rPr>
              <w:t xml:space="preserve">towed body: </w:t>
            </w:r>
          </w:p>
          <w:p>
            <w:pPr>
              <w:pStyle w:val="style0"/>
              <w:keepLines/>
              <w:jc w:val="center"/>
            </w:pPr>
            <w:r>
              <w:rPr>
                <w:rFonts w:ascii="Arial" w:cs="Times New Roman" w:eastAsia="Times New Roman" w:hAnsi="Arial"/>
              </w:rPr>
              <w:t>15 dia x 100 len</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11 dia x 15 len</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30 dia x 33 len</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color w:val="000000"/>
              </w:rPr>
              <w:t>Max payload weight (kg)</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45</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3.5</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10</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color w:val="000000"/>
              </w:rPr>
              <w:t>Hotel load (watts)</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5 - 20</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1</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50+</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color w:val="000000"/>
              </w:rPr>
              <w:t xml:space="preserve">Payload energy </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 xml:space="preserve">150W solar panels, 16 MJ storage batteries </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13 MJ (Li primaries)</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18 MJ (Li secondaries)</w:t>
            </w:r>
          </w:p>
          <w:p>
            <w:pPr>
              <w:pStyle w:val="style0"/>
              <w:keepLines/>
              <w:jc w:val="center"/>
            </w:pPr>
            <w:r>
              <w:rPr>
                <w:rFonts w:ascii="Arial" w:cs="Times New Roman" w:eastAsia="Times New Roman" w:hAnsi="Arial"/>
              </w:rPr>
              <w:t>40 MJ (Li primaries)</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color w:val="000000"/>
              </w:rPr>
              <w:t>Typical endurance</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months</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88 days, 354 profiles</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color w:val="FF0000"/>
              </w:rPr>
              <w:t>11 days, 400 km</w:t>
            </w:r>
          </w:p>
          <w:p>
            <w:pPr>
              <w:pStyle w:val="style0"/>
              <w:keepLines/>
              <w:jc w:val="center"/>
            </w:pPr>
            <w:r>
              <w:rPr>
                <w:rFonts w:ascii="Arial" w:cs="Times New Roman" w:eastAsia="Times New Roman" w:hAnsi="Arial"/>
                <w:color w:val="FF0000"/>
              </w:rPr>
              <w:t>27 days, 1000 km</w:t>
            </w:r>
          </w:p>
        </w:tc>
      </w:tr>
      <w:tr>
        <w:trPr>
          <w:cantSplit w:val="true"/>
        </w:trPr>
        <w:tc>
          <w:tcPr>
            <w:tcW w:type="dxa" w:w="227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hAnsi="Arial"/>
              </w:rPr>
              <w:t>Reference</w:t>
            </w:r>
          </w:p>
        </w:tc>
        <w:tc>
          <w:tcPr>
            <w:tcW w:type="dxa" w:w="2759"/>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liquidr.com, 2015;</w:t>
            </w:r>
          </w:p>
          <w:p>
            <w:pPr>
              <w:pStyle w:val="style0"/>
              <w:keepLines/>
              <w:jc w:val="center"/>
            </w:pPr>
            <w:r>
              <w:rPr>
                <w:rFonts w:ascii="Arial" w:cs="Times New Roman" w:eastAsia="Times New Roman" w:hAnsi="Arial"/>
              </w:rPr>
              <w:t>Brian Kieft (MBARI), personal communication</w:t>
            </w:r>
          </w:p>
        </w:tc>
        <w:tc>
          <w:tcPr>
            <w:tcW w:type="dxa" w:w="2654"/>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ucsd.edu, 2015;</w:t>
            </w:r>
          </w:p>
          <w:p>
            <w:pPr>
              <w:pStyle w:val="style0"/>
              <w:keepLines/>
              <w:jc w:val="center"/>
            </w:pPr>
            <w:r>
              <w:rPr>
                <w:rFonts w:ascii="Arial" w:cs="Times New Roman" w:eastAsia="Times New Roman" w:hAnsi="Arial"/>
              </w:rPr>
              <w:t>Brent Jones (MBARI), personal communication</w:t>
            </w:r>
          </w:p>
        </w:tc>
        <w:tc>
          <w:tcPr>
            <w:tcW w:type="dxa" w:w="3242"/>
            <w:tcBorders>
              <w:top w:color="000001" w:space="0" w:sz="6" w:val="single"/>
              <w:left w:color="000001" w:space="0" w:sz="6" w:val="single"/>
              <w:bottom w:color="000001" w:space="0" w:sz="6" w:val="single"/>
              <w:right w:color="000001" w:space="0" w:sz="6" w:val="single"/>
            </w:tcBorders>
            <w:shd w:fill="FFFFFF" w:val="clear"/>
            <w:tcMar>
              <w:top w:type="dxa" w:w="0"/>
              <w:left w:type="dxa" w:w="108"/>
              <w:bottom w:type="dxa" w:w="0"/>
              <w:right w:type="dxa" w:w="108"/>
            </w:tcMar>
          </w:tcPr>
          <w:p>
            <w:pPr>
              <w:pStyle w:val="style0"/>
              <w:keepLines/>
              <w:jc w:val="center"/>
            </w:pPr>
            <w:r>
              <w:rPr>
                <w:rFonts w:ascii="Arial" w:cs="Times New Roman" w:eastAsia="Times New Roman" w:hAnsi="Arial"/>
              </w:rPr>
              <w:t>Brian Kieft (MBARI), personal communication</w:t>
            </w:r>
          </w:p>
        </w:tc>
      </w:tr>
    </w:tbl>
    <w:p>
      <w:pPr>
        <w:pStyle w:val="style0"/>
        <w:keepLines/>
      </w:pPr>
      <w:r>
        <w:rPr/>
      </w:r>
    </w:p>
    <w:p>
      <w:pPr>
        <w:pStyle w:val="style0"/>
        <w:keepLines/>
      </w:pPr>
      <w:r>
        <w:rPr>
          <w:rFonts w:ascii="Arial" w:cs="Times New Roman" w:hAnsi="Arial"/>
          <w:color w:val="000000"/>
        </w:rPr>
        <w:t xml:space="preserve">Table 1: Some key characteristics of the Liquid Robotics </w:t>
      </w:r>
      <w:r>
        <w:rPr>
          <w:rFonts w:ascii="Arial" w:cs="Times New Roman" w:hAnsi="Arial"/>
          <w:i/>
          <w:color w:val="000000"/>
        </w:rPr>
        <w:t>Wave Glider SV3</w:t>
      </w:r>
      <w:r>
        <w:rPr>
          <w:rFonts w:ascii="Arial" w:cs="Times New Roman" w:hAnsi="Arial"/>
          <w:color w:val="000000"/>
        </w:rPr>
        <w:t xml:space="preserve">, Scripps' </w:t>
      </w:r>
      <w:r>
        <w:rPr>
          <w:rFonts w:ascii="Arial" w:cs="Times New Roman" w:hAnsi="Arial"/>
          <w:i/>
          <w:color w:val="000000"/>
        </w:rPr>
        <w:t>Spray</w:t>
      </w:r>
      <w:r>
        <w:rPr>
          <w:rFonts w:ascii="Arial" w:cs="Times New Roman" w:hAnsi="Arial"/>
          <w:color w:val="000000"/>
        </w:rPr>
        <w:t xml:space="preserve"> glider, and MBARI's </w:t>
      </w:r>
      <w:r>
        <w:rPr>
          <w:rFonts w:ascii="Arial" w:cs="Times New Roman" w:hAnsi="Arial"/>
          <w:i/>
          <w:color w:val="000000"/>
        </w:rPr>
        <w:t>Long Range AUV.</w:t>
      </w:r>
      <w:r>
        <w:rPr>
          <w:rFonts w:ascii="Arial" w:cs="Times New Roman" w:hAnsi="Arial"/>
          <w:color w:val="000000"/>
        </w:rPr>
        <w:t xml:space="preserve"> Actual endurance will depend on energy needs of integrated instruments, including a cytometer.</w:t>
      </w:r>
    </w:p>
    <w:p>
      <w:pPr>
        <w:pStyle w:val="style0"/>
        <w:keepLines/>
      </w:pPr>
      <w:r>
        <w:rPr/>
      </w:r>
    </w:p>
    <w:p>
      <w:pPr>
        <w:pStyle w:val="style0"/>
        <w:widowControl/>
        <w:tabs>
          <w:tab w:leader="none" w:pos="709" w:val="left"/>
          <w:tab w:leader="none" w:pos="720" w:val="left"/>
        </w:tabs>
        <w:suppressAutoHyphens w:val="false"/>
      </w:pPr>
      <w:r>
        <w:rPr/>
      </w:r>
    </w:p>
    <w:p>
      <w:pPr>
        <w:pStyle w:val="style0"/>
        <w:pageBreakBefore/>
      </w:pPr>
      <w:r>
        <w:rPr>
          <w:rFonts w:ascii="Arial" w:cs="Times New Roman" w:hAnsi="Arial"/>
        </w:rPr>
        <w:t>References</w:t>
      </w:r>
    </w:p>
    <w:p>
      <w:pPr>
        <w:pStyle w:val="style0"/>
      </w:pPr>
      <w:r>
        <w:rPr/>
      </w:r>
    </w:p>
    <w:p>
      <w:pPr>
        <w:pStyle w:val="style0"/>
      </w:pPr>
      <w:r>
        <w:rPr>
          <w:rFonts w:ascii="Arial" w:cs="Times New Roman" w:hAnsi="Arial"/>
          <w:shd w:fill="00FF00" w:val="clear"/>
        </w:rPr>
        <w:t>4Deep.com</w:t>
      </w:r>
      <w:r>
        <w:rPr>
          <w:rFonts w:ascii="Arial" w:cs="Times New Roman" w:hAnsi="Arial"/>
        </w:rPr>
        <w:t>. 2015. Submersible microscope. Available at: http://4-deep.com/submersible-microscope/ (accessed 24 February 2015).</w:t>
      </w:r>
    </w:p>
    <w:p>
      <w:pPr>
        <w:pStyle w:val="style0"/>
      </w:pPr>
      <w:r>
        <w:rPr/>
      </w:r>
    </w:p>
    <w:p>
      <w:pPr>
        <w:pStyle w:val="style0"/>
      </w:pPr>
      <w:r>
        <w:rPr>
          <w:rFonts w:ascii="Arial" w:cs="Times New Roman" w:hAnsi="Arial"/>
          <w:shd w:fill="00FF00" w:val="clear"/>
        </w:rPr>
        <w:t>Aghaeepour</w:t>
      </w:r>
      <w:r>
        <w:rPr>
          <w:rFonts w:ascii="Arial" w:cs="Times New Roman" w:hAnsi="Arial"/>
        </w:rPr>
        <w:t xml:space="preserve"> N., Finak G., The FlowCAP Consortium, The DREAM Consortium, Hoos H., Mosmann T.R., Brinkman R., Gottardo R. &amp; Scheuermann R.H.</w:t>
      </w:r>
      <w:r>
        <w:rPr>
          <w:rFonts w:ascii="Arial" w:hAnsi="Arial"/>
        </w:rPr>
        <w:t xml:space="preserve"> 2013. </w:t>
      </w:r>
      <w:r>
        <w:rPr>
          <w:rFonts w:ascii="Arial" w:cs="Times New Roman" w:hAnsi="Arial"/>
        </w:rPr>
        <w:t>Critical assessment of automated flow cytometry data analysis techniques. Nature Methods 10, 228–238</w:t>
      </w:r>
    </w:p>
    <w:p>
      <w:pPr>
        <w:pStyle w:val="style0"/>
      </w:pPr>
      <w:r>
        <w:rPr/>
      </w:r>
    </w:p>
    <w:p>
      <w:pPr>
        <w:pStyle w:val="style0"/>
      </w:pPr>
      <w:r>
        <w:rPr>
          <w:rFonts w:ascii="Arial" w:cs="Times New Roman" w:hAnsi="Arial"/>
          <w:shd w:fill="00FF00" w:val="clear"/>
        </w:rPr>
        <w:t>Arrigo</w:t>
      </w:r>
      <w:r>
        <w:rPr>
          <w:rFonts w:ascii="Arial" w:cs="Times New Roman" w:hAnsi="Arial"/>
        </w:rPr>
        <w:t>, K. R., Perovich, D. K., Pickart, R. S., Brown, Z. W., van Dijken, G. L., Lowry, K. E., ... &amp; Swift, J. H. 2012. Massive phytoplankton blooms under Arctic sea ice. Science, 336(6087), 1408-1408.</w:t>
      </w:r>
    </w:p>
    <w:p>
      <w:pPr>
        <w:pStyle w:val="style0"/>
      </w:pPr>
      <w:r>
        <w:rPr/>
      </w:r>
    </w:p>
    <w:p>
      <w:pPr>
        <w:pStyle w:val="style0"/>
      </w:pPr>
      <w:r>
        <w:rPr>
          <w:rFonts w:ascii="Arial" w:hAnsi="Arial"/>
          <w:shd w:fill="00FF00" w:val="clear"/>
        </w:rPr>
        <w:t>AutoNautUsv.com</w:t>
      </w:r>
      <w:r>
        <w:rPr>
          <w:rFonts w:ascii="Arial" w:hAnsi="Arial"/>
        </w:rPr>
        <w:t>. 2015. Available at: http://www.autonautusv.com (accessed 24 February 2015).</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Bellingham, J. G. 2014. Have robot, will travel. </w:t>
      </w:r>
      <w:r>
        <w:rPr>
          <w:rFonts w:ascii="Arial" w:cs="Times New Roman" w:eastAsia="Times New Roman" w:hAnsi="Arial"/>
          <w:i/>
          <w:iCs/>
          <w:color w:val="222222"/>
          <w:shd w:fill="FFFFFF" w:val="clear"/>
          <w:lang w:bidi="ar-SA" w:eastAsia="en-US"/>
        </w:rPr>
        <w:t>Methods in Oceanography</w:t>
      </w:r>
      <w:r>
        <w:rPr>
          <w:rFonts w:ascii="Arial" w:cs="Times New Roman" w:eastAsia="Times New Roman" w:hAnsi="Arial"/>
          <w:color w:val="222222"/>
          <w:shd w:fill="FFFFFF" w:val="clear"/>
          <w:lang w:bidi="ar-SA" w:eastAsia="en-US"/>
        </w:rPr>
        <w:t>, </w:t>
      </w:r>
      <w:r>
        <w:rPr>
          <w:rFonts w:ascii="Arial" w:cs="Times New Roman" w:eastAsia="Times New Roman" w:hAnsi="Arial"/>
          <w:i/>
          <w:iCs/>
          <w:color w:val="222222"/>
          <w:shd w:fill="FFFFFF" w:val="clear"/>
          <w:lang w:bidi="ar-SA" w:eastAsia="en-US"/>
        </w:rPr>
        <w:t>10</w:t>
      </w:r>
      <w:r>
        <w:rPr>
          <w:rFonts w:ascii="Arial" w:cs="Times New Roman" w:eastAsia="Times New Roman" w:hAnsi="Arial"/>
          <w:color w:val="222222"/>
          <w:shd w:fill="FFFFFF" w:val="clear"/>
          <w:lang w:bidi="ar-SA" w:eastAsia="en-US"/>
        </w:rPr>
        <w:t>, 5-20.</w:t>
      </w:r>
    </w:p>
    <w:p>
      <w:pPr>
        <w:pStyle w:val="style0"/>
      </w:pPr>
      <w:r>
        <w:rPr/>
      </w:r>
    </w:p>
    <w:p>
      <w:pPr>
        <w:pStyle w:val="style0"/>
      </w:pPr>
      <w:r>
        <w:rPr>
          <w:rFonts w:ascii="Arial" w:cs="Times New Roman" w:eastAsia="Times New Roman" w:hAnsi="Arial"/>
          <w:color w:val="222222"/>
          <w:shd w:fill="FFFFFF" w:val="clear"/>
        </w:rPr>
        <w:t>Bochdansky, A. B., Jericho, M. H., &amp; Herndl, G. J. 2013. Development and deployment of a point</w:t>
      </w:r>
      <w:r>
        <w:rPr>
          <w:rFonts w:ascii="Arial" w:cs="American Typewriter" w:eastAsia="Times New Roman" w:hAnsi="Arial"/>
          <w:color w:val="222222"/>
          <w:shd w:fill="FFFFFF" w:val="clear"/>
        </w:rPr>
        <w:t>‐</w:t>
      </w:r>
      <w:r>
        <w:rPr>
          <w:rFonts w:ascii="Arial" w:cs="Times New Roman" w:eastAsia="Times New Roman" w:hAnsi="Arial"/>
          <w:color w:val="222222"/>
          <w:shd w:fill="FFFFFF" w:val="clear"/>
        </w:rPr>
        <w:t>source digital inline holographic microscope for the study of plankton and particles to a depth of 6000 m. </w:t>
      </w:r>
      <w:r>
        <w:rPr>
          <w:rFonts w:ascii="Arial" w:cs="Times New Roman" w:eastAsia="Times New Roman" w:hAnsi="Arial"/>
          <w:i/>
          <w:iCs/>
          <w:color w:val="222222"/>
          <w:shd w:fill="FFFFFF" w:val="clear"/>
        </w:rPr>
        <w:t>Limnology and Oceanography: Methods</w:t>
      </w:r>
      <w:r>
        <w:rPr>
          <w:rFonts w:ascii="Arial" w:cs="Times New Roman" w:eastAsia="Times New Roman" w:hAnsi="Arial"/>
          <w:color w:val="222222"/>
          <w:shd w:fill="FFFFFF" w:val="clear"/>
        </w:rPr>
        <w:t>, </w:t>
      </w:r>
      <w:r>
        <w:rPr>
          <w:rFonts w:ascii="Arial" w:cs="Times New Roman" w:eastAsia="Times New Roman" w:hAnsi="Arial"/>
          <w:i/>
          <w:iCs/>
          <w:color w:val="222222"/>
          <w:shd w:fill="FFFFFF" w:val="clear"/>
        </w:rPr>
        <w:t>11</w:t>
      </w:r>
      <w:r>
        <w:rPr>
          <w:rFonts w:ascii="Arial" w:cs="Times New Roman" w:eastAsia="Times New Roman" w:hAnsi="Arial"/>
          <w:color w:val="222222"/>
          <w:shd w:fill="FFFFFF" w:val="clear"/>
        </w:rPr>
        <w:t>(1), 28-40.</w:t>
      </w:r>
    </w:p>
    <w:p>
      <w:pPr>
        <w:pStyle w:val="style0"/>
      </w:pPr>
      <w:r>
        <w:rPr/>
      </w:r>
    </w:p>
    <w:p>
      <w:pPr>
        <w:pStyle w:val="style0"/>
      </w:pPr>
      <w:r>
        <w:rPr>
          <w:rFonts w:ascii="Arial" w:hAnsi="Arial"/>
          <w:shd w:fill="00FF00" w:val="clear"/>
        </w:rPr>
        <w:t>Campbell</w:t>
      </w:r>
      <w:r>
        <w:rPr>
          <w:rFonts w:ascii="Arial" w:hAnsi="Arial"/>
        </w:rPr>
        <w:t>, L., R.J. Olson, H.M. Sosik, A. Abraham, D.W. Henrichs, C.J. Hyatt, and E.J. Buskey. 2010 First harmful Dinophysis (Dinophyceae, Dinophysiales) bloom in the U.S. is revealed by automated imaging flow cytometry. J. Phycol.,46, 66 – 75.</w:t>
      </w:r>
    </w:p>
    <w:p>
      <w:pPr>
        <w:pStyle w:val="style0"/>
      </w:pPr>
      <w:r>
        <w:rPr/>
      </w:r>
    </w:p>
    <w:p>
      <w:pPr>
        <w:pStyle w:val="style0"/>
      </w:pPr>
      <w:r>
        <w:rPr>
          <w:rFonts w:ascii="Arial" w:cs="Times New Roman" w:hAnsi="Arial"/>
          <w:shd w:fill="00FF00" w:val="clear"/>
        </w:rPr>
        <w:t>Cunningham</w:t>
      </w:r>
      <w:r>
        <w:rPr>
          <w:rFonts w:ascii="Arial" w:cs="Times New Roman" w:hAnsi="Arial"/>
        </w:rPr>
        <w:t>, A., McKee, D., Craig, S., Tarran, G., Widdicombe, C. 2003. Fine-scale variability in phytoplankton community structure and inherent optical properties measured from an autonomous underwater vehicle. Journal of Marine Systems, 43 (1–2) (2003), pp. 51–59</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Davis, R. E., Eriksen, C. C., &amp; Jones, C. P. 2002. Autonomous buoyancy-driven underwater gliders. </w:t>
      </w:r>
      <w:r>
        <w:rPr>
          <w:rFonts w:ascii="Arial" w:cs="Times New Roman" w:eastAsia="Times New Roman" w:hAnsi="Arial"/>
          <w:i/>
          <w:iCs/>
          <w:color w:val="222222"/>
          <w:shd w:fill="FFFFFF" w:val="clear"/>
          <w:lang w:bidi="ar-SA" w:eastAsia="en-US"/>
        </w:rPr>
        <w:t>The Technology and Applications of Autonomous Underwater Vehicles</w:t>
      </w:r>
      <w:r>
        <w:rPr>
          <w:rFonts w:ascii="Arial" w:cs="Times New Roman" w:eastAsia="Times New Roman" w:hAnsi="Arial"/>
          <w:color w:val="222222"/>
          <w:shd w:fill="FFFFFF" w:val="clear"/>
          <w:lang w:bidi="ar-SA" w:eastAsia="en-US"/>
        </w:rPr>
        <w:t>, 37-58.</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Forest, A., Tremblay, J. É., Gratton, Y., Martin, J., Gagnon, J., Darnis, G., ... &amp; Piepenburg, D. 2011. Biogenic carbon flows through the planktonic food web of the Amundsen Gulf (Arctic Ocean): A synthesis of field measurements and inverse modeling analyses. </w:t>
      </w:r>
      <w:r>
        <w:rPr>
          <w:rFonts w:ascii="Arial" w:cs="Times New Roman" w:eastAsia="Times New Roman" w:hAnsi="Arial"/>
          <w:i/>
          <w:iCs/>
          <w:color w:val="222222"/>
          <w:shd w:fill="FFFFFF" w:val="clear"/>
          <w:lang w:bidi="ar-SA" w:eastAsia="en-US"/>
        </w:rPr>
        <w:t>Progress in Oceanography</w:t>
      </w:r>
      <w:r>
        <w:rPr>
          <w:rFonts w:ascii="Arial" w:cs="Times New Roman" w:eastAsia="Times New Roman" w:hAnsi="Arial"/>
          <w:color w:val="222222"/>
          <w:shd w:fill="FFFFFF" w:val="clear"/>
          <w:lang w:bidi="ar-SA" w:eastAsia="en-US"/>
        </w:rPr>
        <w:t>, </w:t>
      </w:r>
      <w:r>
        <w:rPr>
          <w:rFonts w:ascii="Arial" w:cs="Times New Roman" w:eastAsia="Times New Roman" w:hAnsi="Arial"/>
          <w:i/>
          <w:iCs/>
          <w:color w:val="222222"/>
          <w:shd w:fill="FFFFFF" w:val="clear"/>
          <w:lang w:bidi="ar-SA" w:eastAsia="en-US"/>
        </w:rPr>
        <w:t>91</w:t>
      </w:r>
      <w:r>
        <w:rPr>
          <w:rFonts w:ascii="Arial" w:cs="Times New Roman" w:eastAsia="Times New Roman" w:hAnsi="Arial"/>
          <w:color w:val="222222"/>
          <w:shd w:fill="FFFFFF" w:val="clear"/>
          <w:lang w:bidi="ar-SA" w:eastAsia="en-US"/>
        </w:rPr>
        <w:t>(4), 410-436.</w:t>
      </w:r>
    </w:p>
    <w:p>
      <w:pPr>
        <w:pStyle w:val="style0"/>
      </w:pPr>
      <w:r>
        <w:rPr/>
      </w:r>
    </w:p>
    <w:p>
      <w:pPr>
        <w:pStyle w:val="style0"/>
      </w:pPr>
      <w:r>
        <w:rPr>
          <w:rFonts w:ascii="Arial" w:cs="Times New Roman" w:eastAsia="Times New Roman" w:hAnsi="Arial"/>
          <w:color w:val="222222"/>
          <w:shd w:fill="FFFFFF" w:val="clear"/>
        </w:rPr>
        <w:t>Furlong, M. E., Paxton, D., Stevenson, P., Pebody, M., McPhail, S. D., &amp; Perrett, J. 2012, September. Autosub Long Range: A long range deep diving AUV for ocean monitoring. In </w:t>
      </w:r>
      <w:r>
        <w:rPr>
          <w:rFonts w:ascii="Arial" w:cs="Times New Roman" w:eastAsia="Times New Roman" w:hAnsi="Arial"/>
          <w:i/>
          <w:iCs/>
          <w:color w:val="222222"/>
          <w:shd w:fill="FFFFFF" w:val="clear"/>
        </w:rPr>
        <w:t>Autonomous Underwater Vehicles (AUV), 2012 IEEE/OES</w:t>
      </w:r>
      <w:r>
        <w:rPr>
          <w:rFonts w:ascii="Arial" w:cs="Times New Roman" w:eastAsia="Times New Roman" w:hAnsi="Arial"/>
          <w:color w:val="222222"/>
          <w:shd w:fill="FFFFFF" w:val="clear"/>
        </w:rPr>
        <w:t> (pp. 1-7). IEEE.</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Godin, M. A., Ryan, J. P., Zhang, Y., &amp; Bellingham, J. G. 2012, December. Localization and Tracking of Submerged Phytoplankton Bloom Patches by an Autonomous Underwater Vehicle. In </w:t>
      </w:r>
      <w:r>
        <w:rPr>
          <w:rFonts w:ascii="Arial" w:cs="Times New Roman" w:eastAsia="Times New Roman" w:hAnsi="Arial"/>
          <w:i/>
          <w:iCs/>
          <w:color w:val="222222"/>
          <w:shd w:fill="FFFFFF" w:val="clear"/>
          <w:lang w:bidi="ar-SA" w:eastAsia="en-US"/>
        </w:rPr>
        <w:t>AGU Fall Meeting Abstracts</w:t>
      </w:r>
      <w:r>
        <w:rPr>
          <w:rFonts w:ascii="Arial" w:cs="Times New Roman" w:eastAsia="Times New Roman" w:hAnsi="Arial"/>
          <w:color w:val="222222"/>
          <w:shd w:fill="FFFFFF" w:val="clear"/>
          <w:lang w:bidi="ar-SA" w:eastAsia="en-US"/>
        </w:rPr>
        <w:t> (Vol. 1, p. 1869).</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Graham, G. W., &amp; Nimmo Smith, W. A. M. 2010. The application of holography to the analysis of size and settling velocity of suspended cohesive sediments. </w:t>
      </w:r>
      <w:r>
        <w:rPr>
          <w:rFonts w:ascii="Arial" w:cs="Times New Roman" w:eastAsia="Times New Roman" w:hAnsi="Arial"/>
          <w:i/>
          <w:iCs/>
          <w:color w:val="222222"/>
          <w:shd w:fill="FFFFFF" w:val="clear"/>
          <w:lang w:bidi="ar-SA" w:eastAsia="en-US"/>
        </w:rPr>
        <w:t>Limnology and Oceanography: Methods</w:t>
      </w:r>
      <w:r>
        <w:rPr>
          <w:rFonts w:ascii="Arial" w:cs="Times New Roman" w:eastAsia="Times New Roman" w:hAnsi="Arial"/>
          <w:color w:val="222222"/>
          <w:shd w:fill="FFFFFF" w:val="clear"/>
          <w:lang w:bidi="ar-SA" w:eastAsia="en-US"/>
        </w:rPr>
        <w:t>, </w:t>
      </w:r>
      <w:r>
        <w:rPr>
          <w:rFonts w:ascii="Arial" w:cs="Times New Roman" w:eastAsia="Times New Roman" w:hAnsi="Arial"/>
          <w:i/>
          <w:iCs/>
          <w:color w:val="222222"/>
          <w:shd w:fill="FFFFFF" w:val="clear"/>
          <w:lang w:bidi="ar-SA" w:eastAsia="en-US"/>
        </w:rPr>
        <w:t>8</w:t>
      </w:r>
      <w:r>
        <w:rPr>
          <w:rFonts w:ascii="Arial" w:cs="Times New Roman" w:eastAsia="Times New Roman" w:hAnsi="Arial"/>
          <w:color w:val="222222"/>
          <w:shd w:fill="FFFFFF" w:val="clear"/>
          <w:lang w:bidi="ar-SA" w:eastAsia="en-US"/>
        </w:rPr>
        <w:t>(1), 1-15.</w:t>
      </w:r>
    </w:p>
    <w:p>
      <w:pPr>
        <w:pStyle w:val="style0"/>
      </w:pPr>
      <w:r>
        <w:rPr/>
      </w:r>
    </w:p>
    <w:p>
      <w:pPr>
        <w:pStyle w:val="style0"/>
      </w:pPr>
      <w:r>
        <w:rPr>
          <w:rFonts w:ascii="Arial" w:cs="Times New Roman" w:eastAsia="Times New Roman" w:hAnsi="Arial"/>
          <w:color w:val="222222"/>
          <w:shd w:fill="FFFFFF" w:val="clear"/>
        </w:rPr>
        <w:t>Hobson, B. W., Bellingham, J. G., Kieft, B., McEwen, R., Godin, M., &amp; Zhang, Y. 2012, September. Tethys-class long range AUVs-extending the endurance of propeller-driven cruising AUVs from days to weeks. In </w:t>
      </w:r>
      <w:r>
        <w:rPr>
          <w:rFonts w:ascii="Arial" w:cs="Times New Roman" w:eastAsia="Times New Roman" w:hAnsi="Arial"/>
          <w:i/>
          <w:iCs/>
          <w:color w:val="222222"/>
          <w:shd w:fill="FFFFFF" w:val="clear"/>
        </w:rPr>
        <w:t>Autonomous Underwater Vehicles (AUV), 2012 IEEE/OES</w:t>
      </w:r>
      <w:r>
        <w:rPr>
          <w:rFonts w:ascii="Arial" w:cs="Times New Roman" w:eastAsia="Times New Roman" w:hAnsi="Arial"/>
          <w:color w:val="222222"/>
          <w:shd w:fill="FFFFFF" w:val="clear"/>
        </w:rPr>
        <w:t> (pp. 1-8). IEEE.</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Kocak, D. M., &amp; Clark, A. M. 2013. Motivations and Methods for Modern Maritime Communications: A Survey of Recent and Emerging Trends. </w:t>
      </w:r>
      <w:r>
        <w:rPr>
          <w:rFonts w:ascii="Arial" w:cs="Times New Roman" w:eastAsia="Times New Roman" w:hAnsi="Arial"/>
          <w:i/>
          <w:iCs/>
          <w:color w:val="222222"/>
          <w:shd w:fill="FFFFFF" w:val="clear"/>
          <w:lang w:bidi="ar-SA" w:eastAsia="en-US"/>
        </w:rPr>
        <w:t>Marine Technology Society Journal</w:t>
      </w:r>
      <w:r>
        <w:rPr>
          <w:rFonts w:ascii="Arial" w:cs="Times New Roman" w:eastAsia="Times New Roman" w:hAnsi="Arial"/>
          <w:color w:val="222222"/>
          <w:shd w:fill="FFFFFF" w:val="clear"/>
          <w:lang w:bidi="ar-SA" w:eastAsia="en-US"/>
        </w:rPr>
        <w:t>, </w:t>
      </w:r>
      <w:r>
        <w:rPr>
          <w:rFonts w:ascii="Arial" w:cs="Times New Roman" w:eastAsia="Times New Roman" w:hAnsi="Arial"/>
          <w:i/>
          <w:iCs/>
          <w:color w:val="222222"/>
          <w:shd w:fill="FFFFFF" w:val="clear"/>
          <w:lang w:bidi="ar-SA" w:eastAsia="en-US"/>
        </w:rPr>
        <w:t>47</w:t>
      </w:r>
      <w:r>
        <w:rPr>
          <w:rFonts w:ascii="Arial" w:cs="Times New Roman" w:eastAsia="Times New Roman" w:hAnsi="Arial"/>
          <w:color w:val="222222"/>
          <w:shd w:fill="FFFFFF" w:val="clear"/>
          <w:lang w:bidi="ar-SA" w:eastAsia="en-US"/>
        </w:rPr>
        <w:t>(5), 7-18.</w:t>
      </w:r>
    </w:p>
    <w:p>
      <w:pPr>
        <w:pStyle w:val="style0"/>
      </w:pPr>
      <w:r>
        <w:rPr/>
      </w:r>
    </w:p>
    <w:p>
      <w:pPr>
        <w:pStyle w:val="style0"/>
      </w:pPr>
      <w:r>
        <w:rPr>
          <w:rFonts w:ascii="Arial" w:cs="Times New Roman" w:hAnsi="Arial"/>
        </w:rPr>
        <w:t xml:space="preserve">Li W.K. </w:t>
      </w:r>
      <w:r>
        <w:rPr>
          <w:rFonts w:ascii="Arial" w:cs="Times New Roman" w:hAnsi="Arial"/>
          <w:shd w:fill="00FF00" w:val="clear"/>
        </w:rPr>
        <w:t>1997</w:t>
      </w:r>
      <w:r>
        <w:rPr>
          <w:rFonts w:ascii="Arial" w:cs="Times New Roman" w:hAnsi="Arial"/>
        </w:rPr>
        <w:t>. Cytometric diversity in marine ultraphytoplankton. Limnol Oceanogr 42:874–80.</w:t>
      </w:r>
    </w:p>
    <w:p>
      <w:pPr>
        <w:pStyle w:val="style0"/>
      </w:pPr>
      <w:r>
        <w:rPr>
          <w:rFonts w:ascii="Arial" w:cs="Times New Roman" w:hAnsi="Arial"/>
        </w:rPr>
        <w:tab/>
        <w:tab/>
        <w:tab/>
        <w:tab/>
      </w:r>
    </w:p>
    <w:p>
      <w:pPr>
        <w:pStyle w:val="style0"/>
      </w:pPr>
      <w:r>
        <w:rPr>
          <w:rFonts w:ascii="Arial" w:cs="Times New Roman" w:hAnsi="Arial"/>
          <w:shd w:fill="00FF00" w:val="clear"/>
        </w:rPr>
        <w:t>Li</w:t>
      </w:r>
      <w:r>
        <w:rPr>
          <w:rFonts w:ascii="Arial" w:cs="Times New Roman" w:hAnsi="Arial"/>
        </w:rPr>
        <w:t>, W.K., McLaughlin, F. A., Lovejoy, C., &amp; Carmack, E. C. 2009. Smallest algae thrive as the Arctic Ocean freshens. Science, 326(5952), 539-539.</w:t>
      </w:r>
    </w:p>
    <w:p>
      <w:pPr>
        <w:pStyle w:val="style0"/>
      </w:pPr>
      <w:r>
        <w:rPr/>
      </w:r>
    </w:p>
    <w:p>
      <w:pPr>
        <w:pStyle w:val="style0"/>
      </w:pPr>
      <w:r>
        <w:rPr>
          <w:rFonts w:ascii="Arial" w:hAnsi="Arial"/>
          <w:shd w:fill="00FF00" w:val="clear"/>
        </w:rPr>
        <w:t>liquidr.com</w:t>
      </w:r>
      <w:r>
        <w:rPr>
          <w:rFonts w:ascii="Arial" w:hAnsi="Arial"/>
        </w:rPr>
        <w:t>. 2015. Specification sheets. Available at: http://liquidr.com/resdown/downloads/spec-sheets.html (accessed 26 February 2015)</w:t>
      </w:r>
    </w:p>
    <w:p>
      <w:pPr>
        <w:pStyle w:val="style0"/>
      </w:pPr>
      <w:r>
        <w:rPr/>
      </w:r>
    </w:p>
    <w:p>
      <w:pPr>
        <w:pStyle w:val="style0"/>
      </w:pPr>
      <w:r>
        <w:rPr>
          <w:rFonts w:ascii="Arial" w:cs="Times New Roman" w:hAnsi="Arial"/>
          <w:shd w:fill="00FF00" w:val="clear"/>
        </w:rPr>
        <w:t>Lomas</w:t>
      </w:r>
      <w:r>
        <w:rPr>
          <w:rFonts w:ascii="Arial" w:cs="Times New Roman" w:hAnsi="Arial"/>
        </w:rPr>
        <w:t>, M. W., Bronk, D. A., &amp; van den Engh, G. 2011. Use of flow cytometry to measure biogeochemical rates and processes in the ocean. Annual review of marine science, 3, 537-566.</w:t>
      </w:r>
    </w:p>
    <w:p>
      <w:pPr>
        <w:pStyle w:val="style0"/>
      </w:pPr>
      <w:r>
        <w:rPr/>
      </w:r>
    </w:p>
    <w:p>
      <w:pPr>
        <w:pStyle w:val="style0"/>
      </w:pPr>
      <w:r>
        <w:rPr>
          <w:rFonts w:ascii="Arial" w:hAnsi="Arial"/>
          <w:shd w:fill="00FF00" w:val="clear"/>
        </w:rPr>
        <w:t>MBARI.org</w:t>
      </w:r>
      <w:r>
        <w:rPr>
          <w:rFonts w:ascii="Arial" w:hAnsi="Arial"/>
        </w:rPr>
        <w:t>. 2015. CANON: Controlled, agile, and novel observing network. Available at http://www.mbari.org/canon/ (accessed 25 February 2015)</w:t>
      </w:r>
    </w:p>
    <w:p>
      <w:pPr>
        <w:pStyle w:val="style0"/>
      </w:pPr>
      <w:r>
        <w:rPr/>
      </w:r>
    </w:p>
    <w:p>
      <w:pPr>
        <w:pStyle w:val="style0"/>
      </w:pPr>
      <w:bookmarkStart w:id="1" w:name="__DdeLink__435_1540977471"/>
      <w:r>
        <w:rPr>
          <w:rFonts w:ascii="Arial" w:cs="Times New Roman" w:hAnsi="Arial"/>
          <w:shd w:fill="00FF00" w:val="clear"/>
        </w:rPr>
        <w:t>Mudanyali</w:t>
      </w:r>
      <w:bookmarkEnd w:id="1"/>
      <w:r>
        <w:rPr>
          <w:rFonts w:ascii="Arial" w:cs="Times New Roman" w:hAnsi="Arial"/>
        </w:rPr>
        <w:t>, O., Dimitrov S., Sikora U,Padmanabhan S.,Navruza I., and Ozcan A. 2012. Integrated rapid-diagnostic-test reader platform on a cellphone Lab Chip, 2012,12, 2678–2686</w:t>
      </w:r>
    </w:p>
    <w:p>
      <w:pPr>
        <w:pStyle w:val="style0"/>
      </w:pPr>
      <w:r>
        <w:rPr/>
      </w:r>
    </w:p>
    <w:p>
      <w:pPr>
        <w:pStyle w:val="style0"/>
      </w:pPr>
      <w:r>
        <w:rPr>
          <w:rFonts w:ascii="Arial" w:cs="Times New Roman" w:hAnsi="Arial"/>
          <w:shd w:fill="00FF00" w:val="clear"/>
        </w:rPr>
        <w:t>Olson</w:t>
      </w:r>
      <w:r>
        <w:rPr>
          <w:rFonts w:ascii="Arial" w:cs="Times New Roman" w:hAnsi="Arial"/>
        </w:rPr>
        <w:t>, R. J., &amp; Sosik, H. M. 2007. A submersible imaging</w:t>
      </w:r>
      <w:r>
        <w:rPr>
          <w:rFonts w:ascii="Arial" w:cs="American Typewriter" w:hAnsi="Arial"/>
        </w:rPr>
        <w:t>‐</w:t>
      </w:r>
      <w:r>
        <w:rPr>
          <w:rFonts w:ascii="Arial" w:cs="Times New Roman" w:hAnsi="Arial"/>
        </w:rPr>
        <w:t>in</w:t>
      </w:r>
      <w:r>
        <w:rPr>
          <w:rFonts w:ascii="Arial" w:cs="American Typewriter" w:hAnsi="Arial"/>
        </w:rPr>
        <w:t>‐</w:t>
      </w:r>
      <w:r>
        <w:rPr>
          <w:rFonts w:ascii="Arial" w:cs="Times New Roman" w:hAnsi="Arial"/>
        </w:rPr>
        <w:t>flow instrument to analyze nano</w:t>
      </w:r>
      <w:r>
        <w:rPr>
          <w:rFonts w:ascii="Arial" w:cs="American Typewriter" w:hAnsi="Arial"/>
        </w:rPr>
        <w:t>‐</w:t>
      </w:r>
      <w:r>
        <w:rPr>
          <w:rFonts w:ascii="Arial" w:cs="Times New Roman" w:hAnsi="Arial"/>
        </w:rPr>
        <w:t>and microplankton: Imaging FlowCytobot. Limnology and Oceanography: Methods, 5(6), 195-203.</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Palevsky, H. I., Ribalet, F., Swalwell, J. E., Cosca, C. E., Cokelet, E. D., Feely, R. A., &amp; Quay, P. D. 2013. The influence of net community production and phytoplankton community structure on CO2 uptake in the Gulf of Alaska. </w:t>
      </w:r>
      <w:r>
        <w:rPr>
          <w:rFonts w:ascii="Arial" w:cs="Times New Roman" w:eastAsia="Times New Roman" w:hAnsi="Arial"/>
          <w:i/>
          <w:iCs/>
          <w:color w:val="222222"/>
          <w:shd w:fill="FFFFFF" w:val="clear"/>
          <w:lang w:bidi="ar-SA" w:eastAsia="en-US"/>
        </w:rPr>
        <w:t>Global Biogeochemical Cycles</w:t>
      </w:r>
      <w:r>
        <w:rPr>
          <w:rFonts w:ascii="Arial" w:cs="Times New Roman" w:eastAsia="Times New Roman" w:hAnsi="Arial"/>
          <w:color w:val="222222"/>
          <w:shd w:fill="FFFFFF" w:val="clear"/>
          <w:lang w:bidi="ar-SA" w:eastAsia="en-US"/>
        </w:rPr>
        <w:t>, </w:t>
      </w:r>
      <w:r>
        <w:rPr>
          <w:rFonts w:ascii="Arial" w:cs="Times New Roman" w:eastAsia="Times New Roman" w:hAnsi="Arial"/>
          <w:i/>
          <w:iCs/>
          <w:color w:val="222222"/>
          <w:shd w:fill="FFFFFF" w:val="clear"/>
          <w:lang w:bidi="ar-SA" w:eastAsia="en-US"/>
        </w:rPr>
        <w:t>27</w:t>
      </w:r>
      <w:r>
        <w:rPr>
          <w:rFonts w:ascii="Arial" w:cs="Times New Roman" w:eastAsia="Times New Roman" w:hAnsi="Arial"/>
          <w:color w:val="222222"/>
          <w:shd w:fill="FFFFFF" w:val="clear"/>
          <w:lang w:bidi="ar-SA" w:eastAsia="en-US"/>
        </w:rPr>
        <w:t>(3), 664-676.</w:t>
      </w:r>
    </w:p>
    <w:p>
      <w:pPr>
        <w:pStyle w:val="style0"/>
      </w:pPr>
      <w:r>
        <w:rPr/>
      </w:r>
    </w:p>
    <w:p>
      <w:pPr>
        <w:pStyle w:val="style0"/>
      </w:pPr>
      <w:r>
        <w:rPr>
          <w:rFonts w:ascii="Arial" w:cs="Times New Roman" w:hAnsi="Arial"/>
          <w:shd w:fill="00FF00" w:val="clear"/>
        </w:rPr>
        <w:t>Scholin</w:t>
      </w:r>
      <w:r>
        <w:rPr>
          <w:rFonts w:ascii="Arial" w:cs="Times New Roman" w:hAnsi="Arial"/>
        </w:rPr>
        <w:t xml:space="preserve"> CA. 2013. Ecogenomic sensors. In: Levin SA, (ed.) Encyclopedia of Biodiversity 2nd edn Volume 2. Academic Press: Waltham, MA, 690–700.</w:t>
      </w:r>
    </w:p>
    <w:p>
      <w:pPr>
        <w:pStyle w:val="style0"/>
      </w:pPr>
      <w:r>
        <w:rPr/>
      </w:r>
    </w:p>
    <w:p>
      <w:pPr>
        <w:pStyle w:val="style0"/>
      </w:pPr>
      <w:r>
        <w:rPr>
          <w:rFonts w:ascii="Arial" w:hAnsi="Arial"/>
        </w:rPr>
        <w:t>Semrock.com, 2015. http://www.semrock.com/flow-cytometry.aspx</w:t>
      </w:r>
    </w:p>
    <w:p>
      <w:pPr>
        <w:pStyle w:val="style0"/>
      </w:pPr>
      <w:r>
        <w:rPr/>
      </w:r>
    </w:p>
    <w:p>
      <w:pPr>
        <w:pStyle w:val="style0"/>
      </w:pPr>
      <w:r>
        <w:rPr>
          <w:rFonts w:ascii="Arial" w:hAnsi="Arial"/>
          <w:shd w:fill="00FF00" w:val="clear"/>
        </w:rPr>
        <w:t>sequoiasci.com</w:t>
      </w:r>
      <w:r>
        <w:rPr>
          <w:rFonts w:ascii="Arial" w:hAnsi="Arial"/>
        </w:rPr>
        <w:t>. 2015. Testing Sequoia's LISST-Holo on an autonomous underwater vehicle. Available at: http://www.sequoiasci.com/article/testing-sequoias-lisst-%C2%ADholo-on-an-autonomous-underwater-vehicle/ (accessed 24 February 2015).</w:t>
      </w:r>
    </w:p>
    <w:p>
      <w:pPr>
        <w:pStyle w:val="style0"/>
      </w:pPr>
      <w:r>
        <w:rPr/>
      </w:r>
    </w:p>
    <w:p>
      <w:pPr>
        <w:pStyle w:val="style0"/>
        <w:widowControl/>
        <w:tabs>
          <w:tab w:leader="none" w:pos="709" w:val="left"/>
          <w:tab w:leader="none" w:pos="720" w:val="left"/>
        </w:tabs>
        <w:suppressAutoHyphens w:val="false"/>
      </w:pPr>
      <w:r>
        <w:rPr>
          <w:rFonts w:ascii="Arial" w:cs="Times New Roman" w:eastAsia="Times New Roman" w:hAnsi="Arial"/>
          <w:color w:val="222222"/>
          <w:shd w:fill="FFFFFF" w:val="clear"/>
          <w:lang w:bidi="ar-SA" w:eastAsia="en-US"/>
        </w:rPr>
        <w:t>Shapiro, H. M. 2003. </w:t>
      </w:r>
      <w:r>
        <w:rPr>
          <w:rFonts w:ascii="Arial" w:cs="Times New Roman" w:eastAsia="Times New Roman" w:hAnsi="Arial"/>
          <w:i/>
          <w:iCs/>
          <w:color w:val="222222"/>
          <w:shd w:fill="FFFFFF" w:val="clear"/>
          <w:lang w:bidi="ar-SA" w:eastAsia="en-US"/>
        </w:rPr>
        <w:t>Practical flow cytometry</w:t>
      </w:r>
      <w:r>
        <w:rPr>
          <w:rFonts w:ascii="Arial" w:cs="Times New Roman" w:eastAsia="Times New Roman" w:hAnsi="Arial"/>
          <w:color w:val="222222"/>
          <w:shd w:fill="FFFFFF" w:val="clear"/>
          <w:lang w:bidi="ar-SA" w:eastAsia="en-US"/>
        </w:rPr>
        <w:t>. John Wiley &amp; Sons. 736 pp.</w:t>
      </w:r>
    </w:p>
    <w:p>
      <w:pPr>
        <w:pStyle w:val="style0"/>
      </w:pPr>
      <w:r>
        <w:rPr/>
      </w:r>
    </w:p>
    <w:p>
      <w:pPr>
        <w:pStyle w:val="style0"/>
      </w:pPr>
      <w:r>
        <w:rPr>
          <w:rFonts w:ascii="Arial" w:cs="Times New Roman" w:hAnsi="Arial"/>
          <w:shd w:fill="00FF00" w:val="clear"/>
        </w:rPr>
        <w:t>Sosik</w:t>
      </w:r>
      <w:r>
        <w:rPr>
          <w:rFonts w:ascii="Arial" w:cs="Times New Roman" w:hAnsi="Arial"/>
        </w:rPr>
        <w:t>, H. M., &amp; Olson, R. J. 2007. Automated taxonomic classification of phytoplankton sampled with imaging</w:t>
      </w:r>
      <w:r>
        <w:rPr>
          <w:rFonts w:ascii="Arial" w:cs="American Typewriter" w:hAnsi="Arial"/>
        </w:rPr>
        <w:t>‐</w:t>
      </w:r>
      <w:r>
        <w:rPr>
          <w:rFonts w:ascii="Arial" w:cs="Times New Roman" w:hAnsi="Arial"/>
        </w:rPr>
        <w:t>in</w:t>
      </w:r>
      <w:r>
        <w:rPr>
          <w:rFonts w:ascii="Arial" w:cs="American Typewriter" w:hAnsi="Arial"/>
        </w:rPr>
        <w:t>‐</w:t>
      </w:r>
      <w:r>
        <w:rPr>
          <w:rFonts w:ascii="Arial" w:cs="Times New Roman" w:hAnsi="Arial"/>
        </w:rPr>
        <w:t>flow cytometry. Limnology and Oceanography: Methods, 5(6), 204-216.</w:t>
      </w:r>
    </w:p>
    <w:p>
      <w:pPr>
        <w:pStyle w:val="style0"/>
      </w:pPr>
      <w:r>
        <w:rPr/>
      </w:r>
    </w:p>
    <w:p>
      <w:pPr>
        <w:pStyle w:val="style0"/>
      </w:pPr>
      <w:r>
        <w:rPr>
          <w:rFonts w:ascii="Arial" w:cs="Times New Roman" w:hAnsi="Arial"/>
          <w:shd w:fill="00FF00" w:val="clear"/>
        </w:rPr>
        <w:t>Sosik</w:t>
      </w:r>
      <w:r>
        <w:rPr>
          <w:rFonts w:ascii="Arial" w:cs="Times New Roman" w:hAnsi="Arial"/>
        </w:rPr>
        <w:t>, H.M., Olson, R.J., &amp; Armbrust, E.V. 2010. Flow cytometry in phytoplankton research. Chlorophyll a Fluorescence in Aquatic Sciences: Methods and Applications. pp.171–185</w:t>
      </w:r>
    </w:p>
    <w:p>
      <w:pPr>
        <w:pStyle w:val="style0"/>
      </w:pPr>
      <w:r>
        <w:rPr/>
      </w:r>
    </w:p>
    <w:p>
      <w:pPr>
        <w:pStyle w:val="style0"/>
      </w:pPr>
      <w:r>
        <w:rPr>
          <w:rFonts w:ascii="Arial" w:cs="Times New Roman" w:hAnsi="Arial"/>
          <w:shd w:fill="00FF00" w:val="clear"/>
        </w:rPr>
        <w:t>Swalwell</w:t>
      </w:r>
      <w:r>
        <w:rPr>
          <w:rFonts w:ascii="Arial" w:cs="Times New Roman" w:hAnsi="Arial"/>
        </w:rPr>
        <w:t>, J. E., Ribalet, F., &amp; Armbrust, E. 2011. SeaFlow: A novel underway flow</w:t>
      </w:r>
      <w:r>
        <w:rPr>
          <w:rFonts w:ascii="Arial" w:cs="American Typewriter" w:hAnsi="Arial"/>
        </w:rPr>
        <w:t>-</w:t>
      </w:r>
      <w:r>
        <w:rPr>
          <w:rFonts w:ascii="Arial" w:cs="Times New Roman" w:hAnsi="Arial"/>
        </w:rPr>
        <w:t>cytometer for continuous observations of phytoplankton in the ocean. Limnology and Oceanography: Methods, 9(10), 466-477.</w:t>
      </w:r>
    </w:p>
    <w:p>
      <w:pPr>
        <w:pStyle w:val="style0"/>
      </w:pPr>
      <w:r>
        <w:rPr/>
      </w:r>
    </w:p>
    <w:p>
      <w:pPr>
        <w:pStyle w:val="style0"/>
      </w:pPr>
      <w:r>
        <w:rPr>
          <w:rFonts w:ascii="Arial" w:cs="Times New Roman" w:hAnsi="Arial"/>
          <w:shd w:fill="00FF00" w:val="clear"/>
        </w:rPr>
        <w:t>UCSD.edu.</w:t>
      </w:r>
      <w:r>
        <w:rPr>
          <w:rFonts w:ascii="Arial" w:cs="Times New Roman" w:hAnsi="Arial"/>
        </w:rPr>
        <w:t xml:space="preserve"> 2015. Underwater gliders. Available at: http://spray.</w:t>
      </w:r>
      <w:r>
        <w:rPr>
          <w:rFonts w:ascii="Arial" w:cs="Times New Roman" w:hAnsi="Arial"/>
          <w:shd w:fill="00FF00" w:val="clear"/>
        </w:rPr>
        <w:t>ucsd.edu</w:t>
      </w:r>
      <w:r>
        <w:rPr>
          <w:rFonts w:ascii="Arial" w:cs="Times New Roman" w:hAnsi="Arial"/>
        </w:rPr>
        <w:t>/pub/rel/info/spray_description.php  (accessed 26 February 2015).</w:t>
      </w:r>
    </w:p>
    <w:p>
      <w:pPr>
        <w:pStyle w:val="style0"/>
      </w:pPr>
      <w:r>
        <w:rPr/>
      </w:r>
    </w:p>
    <w:p>
      <w:pPr>
        <w:pStyle w:val="style0"/>
      </w:pPr>
      <w:r>
        <w:rPr>
          <w:rFonts w:ascii="Arial" w:hAnsi="Arial"/>
          <w:shd w:fill="00FF00" w:val="clear"/>
        </w:rPr>
        <w:t>Veldhuis</w:t>
      </w:r>
      <w:r>
        <w:rPr>
          <w:rFonts w:ascii="Arial" w:hAnsi="Arial"/>
        </w:rPr>
        <w:t>, M.J.W., &amp; Kraay. G.W. 2000. Application of flow cytometry in marine phytoplankton</w:t>
      </w:r>
    </w:p>
    <w:p>
      <w:pPr>
        <w:pStyle w:val="style0"/>
      </w:pPr>
      <w:r>
        <w:rPr>
          <w:rFonts w:ascii="Arial" w:hAnsi="Arial"/>
        </w:rPr>
        <w:t>research: current applications and future perspectives. Scientia Marina 64(2): 121-134</w:t>
      </w:r>
    </w:p>
    <w:p>
      <w:pPr>
        <w:pStyle w:val="style0"/>
      </w:pPr>
      <w:r>
        <w:rPr/>
      </w:r>
    </w:p>
    <w:p>
      <w:pPr>
        <w:pStyle w:val="style0"/>
      </w:pPr>
      <w:r>
        <w:rPr>
          <w:rFonts w:ascii="Arial" w:cs="Times New Roman" w:hAnsi="Arial"/>
          <w:shd w:fill="00FF00" w:val="clear"/>
        </w:rPr>
        <w:t>Wadhams</w:t>
      </w:r>
      <w:r>
        <w:rPr>
          <w:rFonts w:ascii="Arial" w:cs="Times New Roman" w:hAnsi="Arial"/>
        </w:rPr>
        <w:t xml:space="preserve"> P, Wilkinson JP, McPhail SD. 2006. A new view of the underside of Arctic sea ice. Geophysical Research Letters. 33:L04501. doi: 10.1029/2005GL025131</w:t>
      </w:r>
    </w:p>
    <w:p>
      <w:pPr>
        <w:pStyle w:val="style0"/>
      </w:pPr>
      <w:r>
        <w:rPr/>
      </w:r>
    </w:p>
    <w:p>
      <w:pPr>
        <w:pStyle w:val="style0"/>
      </w:pPr>
      <w:r>
        <w:rPr>
          <w:rFonts w:ascii="Arial" w:hAnsi="Arial"/>
          <w:shd w:fill="00FF00" w:val="clear"/>
        </w:rPr>
        <w:t>Whoi.edu</w:t>
      </w:r>
      <w:r>
        <w:rPr>
          <w:rFonts w:ascii="Arial" w:hAnsi="Arial"/>
        </w:rPr>
        <w:t>. 2014. The JetYak. Available at https://vimeo.com/113751116 (accessed 25 February 2015).</w:t>
      </w:r>
    </w:p>
    <w:p>
      <w:pPr>
        <w:pStyle w:val="style0"/>
      </w:pPr>
      <w:r>
        <w:rPr/>
      </w:r>
    </w:p>
    <w:p>
      <w:pPr>
        <w:pStyle w:val="style0"/>
      </w:pPr>
      <w:r>
        <w:rPr>
          <w:rFonts w:ascii="Arial" w:cs="Times New Roman" w:hAnsi="Arial"/>
          <w:shd w:fill="00FF00" w:val="clear"/>
        </w:rPr>
        <w:t>Williams</w:t>
      </w:r>
      <w:r>
        <w:rPr>
          <w:rFonts w:ascii="Arial" w:cs="Times New Roman" w:hAnsi="Arial"/>
        </w:rPr>
        <w:t>, G.D., Wilkinson, J., Maksym, T., Kunz, C. &amp; Singh, H. 2014. Very thick and heavily deformed Antarctic sea ice captured in 3-D by autonomous underwater vehicle, International Symposium on Sea Ice in a Changing Environment - Proceedings of the Hobart Symposium, 10-14 March 2014, Hobart, Tasmania, Australia, pp. 69A834</w:t>
      </w:r>
    </w:p>
    <w:p>
      <w:pPr>
        <w:pStyle w:val="style0"/>
      </w:pPr>
      <w:r>
        <w:rPr/>
      </w:r>
    </w:p>
    <w:p>
      <w:pPr>
        <w:pStyle w:val="style0"/>
      </w:pPr>
      <w:r>
        <w:rPr>
          <w:rFonts w:ascii="Arial" w:cs="Times New Roman" w:hAnsi="Arial"/>
          <w:shd w:fill="00FF00" w:val="clear"/>
        </w:rPr>
        <w:t>Wu</w:t>
      </w:r>
      <w:r>
        <w:rPr>
          <w:rFonts w:ascii="Arial" w:cs="Times New Roman" w:hAnsi="Arial"/>
        </w:rPr>
        <w:t>, J, Chan, RKY. 2013. A fast fluorescence imaging flow cytometer for phytoplankton analysis. Opt Express Oct 7;21(20):23921-6. doi: 10.1364/OE.21.023921</w:t>
      </w:r>
    </w:p>
    <w:p>
      <w:pPr>
        <w:pStyle w:val="style0"/>
      </w:pPr>
      <w:r>
        <w:rPr/>
      </w:r>
    </w:p>
    <w:p>
      <w:pPr>
        <w:pStyle w:val="style0"/>
      </w:pPr>
      <w:r>
        <w:rPr>
          <w:rFonts w:ascii="Arial" w:cs="Times New Roman" w:hAnsi="Arial"/>
          <w:shd w:fill="00FF00" w:val="clear"/>
        </w:rPr>
        <w:t>Zhang</w:t>
      </w:r>
      <w:r>
        <w:rPr>
          <w:rFonts w:ascii="Arial" w:cs="Times New Roman" w:hAnsi="Arial"/>
        </w:rPr>
        <w:t>, Y., McEwen, R.S., Ryan,  J.P., Bellingham,  J.G., Harvey, J. &amp; Vrijenhoek, J. 2010. Acquiring peak samples from phytoplankton thin layers and intermediate nepheloid layers by an autonomous underwater vehicle with adaptive triggering. AGU 2010 Fall Meeting, Abstract OS51C-1334, San Francisco, CA, U.S.A., December 2010.</w:t>
      </w:r>
    </w:p>
    <w:p>
      <w:pPr>
        <w:pStyle w:val="style0"/>
        <w:pageBreakBefore/>
      </w:pPr>
      <w:r>
        <w:rPr>
          <w:rFonts w:ascii="Arial" w:cs="Times New Roman" w:hAnsi="Arial"/>
          <w:u w:val="single"/>
        </w:rPr>
        <w:t>Figure captions</w:t>
      </w:r>
    </w:p>
    <w:p>
      <w:pPr>
        <w:pStyle w:val="style0"/>
      </w:pPr>
      <w:r>
        <w:rPr/>
      </w:r>
    </w:p>
    <w:p>
      <w:pPr>
        <w:pStyle w:val="style0"/>
      </w:pPr>
      <w:r>
        <w:rPr>
          <w:rFonts w:ascii="Arial" w:cs="Times New Roman" w:hAnsi="Arial"/>
        </w:rPr>
        <w:t xml:space="preserve">Figure 1. Generic diagram of a flow cytometer. Particles for analysis are introduced into a nozzle or cuvette for analysis, where hydrodynamic focusing produces a single-file flow of particles past a focused laser. Light scatter and fluorescence measurements are made by photomultiplier tubes (PMTs) detecting selected wavelengths as determined by optical bandpass filters. PMT output is converted by analog to digital converters (ADCs) for computer display of particle intensity levels. Image used with permission, </w:t>
      </w:r>
      <w:r>
        <w:rPr>
          <w:rFonts w:ascii="Arial" w:cs="Times New Roman" w:hAnsi="Arial"/>
          <w:color w:val="FF0000"/>
        </w:rPr>
        <w:t>Semrock.com</w:t>
      </w:r>
    </w:p>
    <w:p>
      <w:pPr>
        <w:pStyle w:val="style0"/>
      </w:pPr>
      <w:r>
        <w:rPr/>
      </w:r>
    </w:p>
    <w:p>
      <w:pPr>
        <w:pStyle w:val="style0"/>
      </w:pPr>
      <w:r>
        <w:rPr>
          <w:rFonts w:ascii="Arial" w:cs="Times New Roman" w:hAnsi="Arial"/>
        </w:rPr>
        <w:t xml:space="preserve">Figure 2. Flow cytometric analysis of plankton.  Levels of 692nm chlorophyll fluorescence plotted against forward slight scatter intensity allow discrimination of various species, </w:t>
      </w:r>
      <w:r>
        <w:rPr>
          <w:rFonts w:ascii="Arial" w:cs="Times New Roman" w:hAnsi="Arial"/>
          <w:i/>
          <w:iCs/>
        </w:rPr>
        <w:t xml:space="preserve">Prochlorococcus </w:t>
      </w:r>
      <w:r>
        <w:rPr>
          <w:rFonts w:ascii="Arial" w:cs="Times New Roman" w:hAnsi="Arial"/>
        </w:rPr>
        <w:t xml:space="preserve">(Pro), </w:t>
      </w:r>
      <w:r>
        <w:rPr>
          <w:rFonts w:ascii="Arial" w:cs="Times New Roman" w:hAnsi="Arial"/>
          <w:i/>
          <w:iCs/>
        </w:rPr>
        <w:t>Synechococcus</w:t>
      </w:r>
      <w:r>
        <w:rPr>
          <w:rFonts w:ascii="Arial" w:cs="Times New Roman" w:hAnsi="Arial"/>
        </w:rPr>
        <w:t xml:space="preserve"> (Syn), and eukaryotes (Euk). Sample is spiked with 0.75micrometer yellow green “YG” beads (Polysciences, Inc.) as a size reference. Image courtesy of  Amy Zimmerman, MBARI</w:t>
      </w:r>
    </w:p>
    <w:p>
      <w:pPr>
        <w:pStyle w:val="style0"/>
      </w:pPr>
      <w:r>
        <w:rPr>
          <w:rFonts w:ascii="Arial" w:cs="Times New Roman" w:hAnsi="Arial"/>
        </w:rPr>
        <w:tab/>
      </w:r>
    </w:p>
    <w:p>
      <w:pPr>
        <w:pStyle w:val="style0"/>
      </w:pPr>
      <w:r>
        <w:rPr>
          <w:rFonts w:ascii="Arial" w:hAnsi="Arial"/>
        </w:rPr>
        <w:t xml:space="preserve">Figure 3. Some long-duration autonomous vehicles; (a) </w:t>
      </w:r>
      <w:r>
        <w:rPr>
          <w:rFonts w:ascii="Arial" w:hAnsi="Arial"/>
          <w:i/>
          <w:iCs/>
        </w:rPr>
        <w:t>Wave Glider</w:t>
      </w:r>
      <w:r>
        <w:rPr>
          <w:rFonts w:ascii="Arial" w:hAnsi="Arial"/>
        </w:rPr>
        <w:t xml:space="preserve"> (b) </w:t>
      </w:r>
      <w:r>
        <w:rPr>
          <w:rFonts w:ascii="Arial" w:hAnsi="Arial"/>
          <w:i/>
          <w:iCs/>
        </w:rPr>
        <w:t>Spray</w:t>
      </w:r>
      <w:r>
        <w:rPr>
          <w:rFonts w:ascii="Arial" w:hAnsi="Arial"/>
        </w:rPr>
        <w:t xml:space="preserve"> glider (c) </w:t>
      </w:r>
      <w:r>
        <w:rPr>
          <w:rFonts w:ascii="Arial" w:hAnsi="Arial"/>
          <w:i/>
          <w:iCs/>
        </w:rPr>
        <w:t>Long Range AUV</w:t>
      </w:r>
      <w:r>
        <w:rPr>
          <w:rFonts w:ascii="Arial" w:hAnsi="Arial"/>
        </w:rPr>
        <w:t xml:space="preserve">. Photographs used with permission, (a) MBARI, 2014, Tom O'Reilly; (b); MBARI, 2012, Kim Fulton-Bennett, (c) MBARI, 2013, Todd Walsh. </w:t>
      </w:r>
    </w:p>
    <w:p>
      <w:pPr>
        <w:pStyle w:val="style0"/>
      </w:pPr>
      <w:r>
        <w:rPr/>
      </w:r>
    </w:p>
    <w:p>
      <w:pPr>
        <w:pStyle w:val="style0"/>
      </w:pPr>
      <w:r>
        <w:rPr>
          <w:rFonts w:ascii="Arial" w:hAnsi="Arial"/>
        </w:rPr>
        <w:t xml:space="preserve">Figure 4. Distribution of (a) </w:t>
      </w:r>
      <w:r>
        <w:rPr>
          <w:rFonts w:ascii="Arial" w:hAnsi="Arial"/>
          <w:i/>
        </w:rPr>
        <w:t>Prochlorococcus</w:t>
      </w:r>
      <w:r>
        <w:rPr>
          <w:rFonts w:ascii="Arial" w:hAnsi="Arial"/>
        </w:rPr>
        <w:t xml:space="preserve">, (b) </w:t>
      </w:r>
      <w:r>
        <w:rPr>
          <w:rFonts w:ascii="Arial" w:hAnsi="Arial"/>
          <w:i/>
        </w:rPr>
        <w:t>Synechococcus</w:t>
      </w:r>
      <w:r>
        <w:rPr>
          <w:rFonts w:ascii="Arial" w:hAnsi="Arial"/>
        </w:rPr>
        <w:t xml:space="preserve"> and (c) nanoplankton in Hawaiian waters, as measured by the SeaFlow cytometer. Large spatial scale views are on the left, finer scale on the right (used with permission, from Swalwell et al, 2011).</w:t>
      </w:r>
    </w:p>
    <w:p>
      <w:pPr>
        <w:pStyle w:val="style0"/>
      </w:pPr>
      <w:r>
        <w:rPr/>
      </w:r>
    </w:p>
    <w:p>
      <w:pPr>
        <w:pStyle w:val="style0"/>
      </w:pPr>
      <w:r>
        <w:rPr>
          <w:rFonts w:ascii="Arial" w:hAnsi="Arial"/>
        </w:rPr>
        <w:t>Figure 5. Monterey Bay phytoplankton images captured by Imaging Flow Cytobot (instrument loaned to MBARI courtesy of Dr. Heidi Sosik, WHOI)</w:t>
      </w:r>
    </w:p>
    <w:p>
      <w:pPr>
        <w:pStyle w:val="style0"/>
      </w:pPr>
      <w:r>
        <w:rPr/>
      </w:r>
    </w:p>
    <w:sectPr>
      <w:headerReference r:id="rId2" w:type="default"/>
      <w:footerReference r:id="rId3" w:type="even"/>
      <w:footerReference r:id="rId4" w:type="default"/>
      <w:type w:val="nextPage"/>
      <w:pgSz w:h="15840" w:w="12240"/>
      <w:pgMar w:bottom="1134" w:footer="0" w:gutter="0" w:header="0" w:left="1134" w:right="1134" w:top="1134"/>
      <w:pgNumType w:fmt="decimal"/>
      <w:formProt w:val="false"/>
      <w:textDirection w:val="lrTb"/>
      <w:docGrid w:charSpace="0" w:linePitch="240" w:type="default"/>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comment w:author="Klimov" w:date="2015-02-26T18:30:00Z" w:id="0">
    <w:p>
      <w:r>
        <w:rPr/>
        <w:t>Reference updated from 2011 to 2014 to match reference</w:t>
      </w:r>
    </w:p>
    <w:p>
      <w:r>
        <w:rPr/>
      </w:r>
    </w:p>
    <w:p>
      <w:r>
        <w:rPr/>
      </w:r>
    </w:p>
    <w:p>
      <w:r>
        <w:rPr/>
      </w:r>
    </w:p>
    <w:p>
      <w:r>
        <w:rPr/>
      </w:r>
    </w:p>
    <w:p>
      <w:r>
        <w:rPr/>
      </w:r>
    </w:p>
    <w:p>
      <w:r>
        <w:rPr/>
      </w:r>
    </w:p>
    <w:p>
      <w:r>
        <w:rPr/>
      </w:r>
    </w:p>
    <w:p>
      <w:r>
        <w:rPr/>
      </w:r>
    </w:p>
    <w:p>
      <w:r>
        <w:rPr/>
      </w:r>
    </w:p>
    <w:p>
      <w:r>
        <w:rPr/>
      </w:r>
    </w:p>
  </w:comment>
</w:comments>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pPr>
    <w:r>
      <w:rPr/>
      <w:fldChar w:fldCharType="begin"/>
    </w:r>
    <w:r>
      <w:instrText> PAGE </w:instrText>
    </w:r>
    <w:r>
      <w:fldChar w:fldCharType="separate"/>
    </w:r>
    <w:r>
      <w:t>12</w:t>
    </w:r>
    <w:r>
      <w:fldChar w:fldCharType="end"/>
    </w:r>
  </w:p>
  <w:p>
    <w:pPr>
      <w:pStyle w:val="style36"/>
      <w:ind w:hanging="0" w:left="0" w:right="360"/>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pPr>
    <w:r>
      <w:rPr/>
      <w:fldChar w:fldCharType="begin"/>
    </w:r>
    <w:r>
      <w:instrText> PAGE </w:instrText>
    </w:r>
    <w:r>
      <w:fldChar w:fldCharType="separate"/>
    </w:r>
    <w:r>
      <w:t>11</w:t>
    </w:r>
    <w:r>
      <w:fldChar w:fldCharType="end"/>
    </w:r>
  </w:p>
  <w:p>
    <w:pPr>
      <w:pStyle w:val="style36"/>
      <w:ind w:hanging="0" w:left="0" w:right="360"/>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8"/>
    </w:pPr>
    <w:r>
      <w:rPr/>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style w:styleId="style0" w:type="paragraph">
    <w:name w:val="Normal"/>
    <w:next w:val="style0"/>
    <w:pPr>
      <w:widowControl w:val="false"/>
      <w:tabs>
        <w:tab w:leader="none" w:pos="709" w:val="left"/>
      </w:tabs>
      <w:suppressAutoHyphens w:val="true"/>
    </w:pPr>
    <w:rPr>
      <w:rFonts w:ascii="Times New Roman" w:cs="Lohit Hindi" w:eastAsia="Droid Sans Fallback" w:hAnsi="Times New Roman"/>
      <w:color w:val="00000A"/>
      <w:sz w:val="24"/>
      <w:szCs w:val="24"/>
      <w:lang w:bidi="hi-IN" w:eastAsia="zh-CN" w:val="en-US"/>
    </w:rPr>
  </w:style>
  <w:style w:styleId="style15" w:type="character">
    <w:name w:val="Default Paragraph Font"/>
    <w:next w:val="style15"/>
    <w:rPr/>
  </w:style>
  <w:style w:styleId="style16" w:type="character">
    <w:name w:val="annotation reference"/>
    <w:basedOn w:val="style15"/>
    <w:next w:val="style16"/>
    <w:rPr>
      <w:sz w:val="18"/>
      <w:szCs w:val="18"/>
    </w:rPr>
  </w:style>
  <w:style w:styleId="style17" w:type="character">
    <w:name w:val="Comment Text Char"/>
    <w:basedOn w:val="style15"/>
    <w:next w:val="style17"/>
    <w:rPr>
      <w:rFonts w:ascii="Times New Roman" w:cs="Lohit Hindi" w:eastAsia="Droid Sans Fallback" w:hAnsi="Times New Roman"/>
      <w:lang w:bidi="hi-IN" w:eastAsia="zh-CN"/>
    </w:rPr>
  </w:style>
  <w:style w:styleId="style18" w:type="character">
    <w:name w:val="Comment Subject Char"/>
    <w:basedOn w:val="style17"/>
    <w:next w:val="style18"/>
    <w:rPr>
      <w:rFonts w:ascii="Times New Roman" w:cs="Lohit Hindi" w:eastAsia="Droid Sans Fallback" w:hAnsi="Times New Roman"/>
      <w:b/>
      <w:bCs/>
      <w:sz w:val="20"/>
      <w:szCs w:val="20"/>
      <w:lang w:bidi="hi-IN" w:eastAsia="zh-CN"/>
    </w:rPr>
  </w:style>
  <w:style w:styleId="style19" w:type="character">
    <w:name w:val="Balloon Text Char"/>
    <w:basedOn w:val="style15"/>
    <w:next w:val="style19"/>
    <w:rPr>
      <w:rFonts w:ascii="Lucida Grande" w:cs="Lucida Grande" w:eastAsia="Droid Sans Fallback" w:hAnsi="Lucida Grande"/>
      <w:sz w:val="18"/>
      <w:szCs w:val="18"/>
      <w:lang w:bidi="hi-IN" w:eastAsia="zh-CN"/>
    </w:rPr>
  </w:style>
  <w:style w:styleId="style20" w:type="character">
    <w:name w:val="Footer Char"/>
    <w:basedOn w:val="style15"/>
    <w:next w:val="style20"/>
    <w:rPr>
      <w:rFonts w:ascii="Times New Roman" w:cs="Lohit Hindi" w:eastAsia="Droid Sans Fallback" w:hAnsi="Times New Roman"/>
      <w:lang w:bidi="hi-IN" w:eastAsia="zh-CN"/>
    </w:rPr>
  </w:style>
  <w:style w:styleId="style21" w:type="character">
    <w:name w:val="page number"/>
    <w:basedOn w:val="style15"/>
    <w:next w:val="style21"/>
    <w:rPr/>
  </w:style>
  <w:style w:styleId="style22" w:type="character">
    <w:name w:val="Internet Link"/>
    <w:basedOn w:val="style15"/>
    <w:next w:val="style22"/>
    <w:rPr>
      <w:color w:val="0000FF"/>
      <w:u w:val="single"/>
      <w:lang w:bidi="en-US" w:eastAsia="en-US" w:val="en-US"/>
    </w:rPr>
  </w:style>
  <w:style w:styleId="style23" w:type="character">
    <w:name w:val="Header Char"/>
    <w:basedOn w:val="style15"/>
    <w:next w:val="style23"/>
    <w:rPr>
      <w:rFonts w:ascii="Times New Roman" w:cs="Lohit Hindi" w:eastAsia="Droid Sans Fallback" w:hAnsi="Times New Roman"/>
      <w:lang w:bidi="hi-IN" w:eastAsia="zh-CN"/>
    </w:rPr>
  </w:style>
  <w:style w:styleId="style24" w:type="character">
    <w:name w:val="apple-converted-space"/>
    <w:basedOn w:val="style15"/>
    <w:next w:val="style24"/>
    <w:rPr/>
  </w:style>
  <w:style w:styleId="style25" w:type="character">
    <w:name w:val="object"/>
    <w:basedOn w:val="style15"/>
    <w:next w:val="style25"/>
    <w:rPr/>
  </w:style>
  <w:style w:styleId="style26" w:type="character">
    <w:name w:val="object-active"/>
    <w:basedOn w:val="style15"/>
    <w:next w:val="style26"/>
    <w:rPr/>
  </w:style>
  <w:style w:styleId="style27" w:type="paragraph">
    <w:name w:val="Heading"/>
    <w:basedOn w:val="style0"/>
    <w:next w:val="style28"/>
    <w:pPr>
      <w:keepNext/>
      <w:spacing w:after="120" w:before="240"/>
    </w:pPr>
    <w:rPr>
      <w:rFonts w:ascii="Arial" w:cs="Lohit Hindi" w:eastAsia="Droid Sans Fallback" w:hAnsi="Arial"/>
      <w:sz w:val="28"/>
      <w:szCs w:val="28"/>
    </w:rPr>
  </w:style>
  <w:style w:styleId="style28" w:type="paragraph">
    <w:name w:val="Text body"/>
    <w:basedOn w:val="style0"/>
    <w:next w:val="style28"/>
    <w:pPr>
      <w:spacing w:after="120" w:before="0"/>
    </w:pPr>
    <w:rPr/>
  </w:style>
  <w:style w:styleId="style29" w:type="paragraph">
    <w:name w:val="List"/>
    <w:basedOn w:val="style28"/>
    <w:next w:val="style29"/>
    <w:pPr/>
    <w:rPr>
      <w:rFonts w:cs="Lohit Hindi"/>
    </w:rPr>
  </w:style>
  <w:style w:styleId="style30" w:type="paragraph">
    <w:name w:val="Caption"/>
    <w:basedOn w:val="style0"/>
    <w:next w:val="style30"/>
    <w:pPr>
      <w:suppressLineNumbers/>
      <w:spacing w:after="120" w:before="120"/>
    </w:pPr>
    <w:rPr>
      <w:rFonts w:cs="Lohit Hindi"/>
      <w:i/>
      <w:iCs/>
      <w:sz w:val="24"/>
      <w:szCs w:val="24"/>
    </w:rPr>
  </w:style>
  <w:style w:styleId="style31" w:type="paragraph">
    <w:name w:val="Index"/>
    <w:basedOn w:val="style0"/>
    <w:next w:val="style31"/>
    <w:pPr>
      <w:suppressLineNumbers/>
    </w:pPr>
    <w:rPr>
      <w:rFonts w:cs="Lohit Hindi"/>
    </w:rPr>
  </w:style>
  <w:style w:styleId="style32" w:type="paragraph">
    <w:name w:val="caption"/>
    <w:basedOn w:val="style0"/>
    <w:next w:val="style32"/>
    <w:pPr>
      <w:suppressLineNumbers/>
      <w:spacing w:after="120" w:before="120"/>
    </w:pPr>
    <w:rPr>
      <w:i/>
      <w:iCs/>
    </w:rPr>
  </w:style>
  <w:style w:styleId="style33" w:type="paragraph">
    <w:name w:val="annotation text"/>
    <w:basedOn w:val="style0"/>
    <w:next w:val="style33"/>
    <w:pPr/>
    <w:rPr/>
  </w:style>
  <w:style w:styleId="style34" w:type="paragraph">
    <w:name w:val="annotation subject"/>
    <w:basedOn w:val="style33"/>
    <w:next w:val="style34"/>
    <w:pPr/>
    <w:rPr>
      <w:b/>
      <w:bCs/>
      <w:sz w:val="20"/>
      <w:szCs w:val="20"/>
    </w:rPr>
  </w:style>
  <w:style w:styleId="style35" w:type="paragraph">
    <w:name w:val="Balloon Text"/>
    <w:basedOn w:val="style0"/>
    <w:next w:val="style35"/>
    <w:pPr/>
    <w:rPr>
      <w:rFonts w:ascii="Lucida Grande" w:cs="Lucida Grande" w:hAnsi="Lucida Grande"/>
      <w:sz w:val="18"/>
      <w:szCs w:val="18"/>
    </w:rPr>
  </w:style>
  <w:style w:styleId="style36" w:type="paragraph">
    <w:name w:val="Footer"/>
    <w:basedOn w:val="style0"/>
    <w:next w:val="style36"/>
    <w:pPr>
      <w:suppressLineNumbers/>
      <w:tabs>
        <w:tab w:leader="none" w:pos="4320" w:val="center"/>
        <w:tab w:leader="none" w:pos="8640" w:val="right"/>
      </w:tabs>
    </w:pPr>
    <w:rPr/>
  </w:style>
  <w:style w:styleId="style37" w:type="paragraph">
    <w:name w:val="Normal (Web)"/>
    <w:basedOn w:val="style0"/>
    <w:next w:val="style37"/>
    <w:pPr>
      <w:widowControl/>
      <w:tabs>
        <w:tab w:leader="none" w:pos="720" w:val="left"/>
      </w:tabs>
      <w:spacing w:after="28" w:before="28"/>
    </w:pPr>
    <w:rPr>
      <w:rFonts w:ascii="Times" w:cs="Times New Roman" w:hAnsi="Times"/>
      <w:sz w:val="20"/>
      <w:szCs w:val="20"/>
      <w:lang w:bidi="ar-SA" w:eastAsia="en-US"/>
    </w:rPr>
  </w:style>
  <w:style w:styleId="style38" w:type="paragraph">
    <w:name w:val="Header"/>
    <w:basedOn w:val="style0"/>
    <w:next w:val="style38"/>
    <w:pPr>
      <w:suppressLineNumbers/>
      <w:tabs>
        <w:tab w:leader="none" w:pos="4320" w:val="center"/>
        <w:tab w:leader="none" w:pos="8640" w:val="right"/>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2015-02-27T04:12:00.00Z</dcterms:created>
  <dc:creator>Peter Lopez</dc:creator>
  <cp:lastModifiedBy>Klimov</cp:lastModifiedBy>
  <dcterms:modified xsi:type="dcterms:W3CDTF">2015-02-27T04:25:00.00Z</dcterms:modified>
  <cp:revision>4</cp:revision>
</cp:coreProperties>
</file>