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8" w:rsidRPr="00847D58" w:rsidRDefault="00C2609C" w:rsidP="00847D58">
      <w:pPr>
        <w:pStyle w:val="Title"/>
        <w:rPr>
          <w:sz w:val="40"/>
          <w:szCs w:val="40"/>
        </w:rPr>
      </w:pPr>
      <w:r>
        <w:rPr>
          <w:sz w:val="40"/>
          <w:szCs w:val="40"/>
        </w:rPr>
        <w:t>OASIS5 Over-the-Air Protocol for Log Records</w:t>
      </w:r>
    </w:p>
    <w:p w:rsidR="00C2617B" w:rsidRDefault="00847D58" w:rsidP="00C2617B">
      <w:pPr>
        <w:pStyle w:val="Heading3"/>
      </w:pPr>
      <w:r>
        <w:t xml:space="preserve">Project: </w:t>
      </w:r>
      <w:r w:rsidR="00C2609C">
        <w:t>OASIS5 – Project 901507</w:t>
      </w:r>
      <w:r>
        <w:br/>
      </w:r>
      <w:r w:rsidR="008A48FD">
        <w:t xml:space="preserve">Revision </w:t>
      </w:r>
      <w:r w:rsidR="00C376AC">
        <w:t xml:space="preserve">- </w:t>
      </w:r>
      <w:r w:rsidR="002171E8">
        <w:t>1.0</w:t>
      </w:r>
      <w:r w:rsidR="002171E8">
        <w:br/>
        <w:t xml:space="preserve">Date: </w:t>
      </w:r>
      <w:r w:rsidR="00C2609C">
        <w:t>10/13/2015</w:t>
      </w:r>
    </w:p>
    <w:p w:rsidR="00C909FA" w:rsidRDefault="00C2609C" w:rsidP="00C909FA">
      <w:pPr>
        <w:pStyle w:val="Heading1"/>
      </w:pPr>
      <w:r>
        <w:t>Background and Motivation</w:t>
      </w:r>
    </w:p>
    <w:p w:rsidR="00C2609C" w:rsidRDefault="00C2609C" w:rsidP="00C2609C">
      <w:r>
        <w:t>The OASIS Mooring system, since the days of OASIS1, has maintained an API to allow (not require) instruments to log data to a central data log.  That data can be sent to shore via the Log over-the-air protocol.  In the case of most moorings, there is a shore-side infrastructure for periodically retrieving that data via a telemetry system, and storing it in a well-known location on a file server.  That infrastructure has been loosely known as the “shore-side system”.</w:t>
      </w:r>
      <w:r w:rsidR="00EC726A">
        <w:t xml:space="preserve">  Note that non-mooring applications, e.g. the BRS/MRS respirometers, don’t use this infrastructure; indeed, they don’t use the logging API, but rather log to individual files.</w:t>
      </w:r>
    </w:p>
    <w:p w:rsidR="00C2609C" w:rsidRDefault="00C2609C" w:rsidP="00C2609C">
      <w:r>
        <w:t>In the past, the shore-side system has been responsible for maintaining mooring configurations, instrument calibrations, and an appropriate directory structure for each mooring deployment.  In ad</w:t>
      </w:r>
      <w:r w:rsidR="00256811">
        <w:t>dition, this infrastructure must be</w:t>
      </w:r>
      <w:r>
        <w:t xml:space="preserve"> kept consistent with a similar set of configurations and calibrations on the deployed OASIS controller itself.  This has been problematical.</w:t>
      </w:r>
    </w:p>
    <w:p w:rsidR="00C2609C" w:rsidRDefault="00C2609C" w:rsidP="00C2609C">
      <w:r>
        <w:t xml:space="preserve">Beginning with OASIS5, the shore-side infrastructure will know nothing about instrument configurations and calibrations; the deployed side will know only configuration, not calibration.  The infrastructure will be responsible for simply </w:t>
      </w:r>
      <w:r w:rsidR="008C0D24">
        <w:t>retrieving and storing the literal instrument payload, with no transformation via calibrations, etc.</w:t>
      </w:r>
    </w:p>
    <w:p w:rsidR="008C0D24" w:rsidRDefault="008C0D24" w:rsidP="00C2609C">
      <w:r>
        <w:t>The purpose of this document is to specify the changes to the OTA protocol to support this new paradigm.</w:t>
      </w:r>
    </w:p>
    <w:p w:rsidR="00C909FA" w:rsidRDefault="008C0D24" w:rsidP="00C909FA">
      <w:pPr>
        <w:pStyle w:val="Heading1"/>
      </w:pPr>
      <w:r>
        <w:t>Original OTA Protocol, 1990 – Feb 2011</w:t>
      </w:r>
    </w:p>
    <w:p w:rsidR="002171E8" w:rsidRDefault="002171E8" w:rsidP="002171E8"/>
    <w:tbl>
      <w:tblPr>
        <w:tblStyle w:val="TableGrid"/>
        <w:tblW w:w="0" w:type="auto"/>
        <w:tblLook w:val="04A0" w:firstRow="1" w:lastRow="0" w:firstColumn="1" w:lastColumn="0" w:noHBand="0" w:noVBand="1"/>
      </w:tblPr>
      <w:tblGrid>
        <w:gridCol w:w="744"/>
        <w:gridCol w:w="1799"/>
        <w:gridCol w:w="7033"/>
      </w:tblGrid>
      <w:tr w:rsidR="008C0D24" w:rsidTr="008C0D24">
        <w:tc>
          <w:tcPr>
            <w:tcW w:w="744" w:type="dxa"/>
          </w:tcPr>
          <w:p w:rsidR="008C0D24" w:rsidRPr="008C0D24" w:rsidRDefault="008C0D24" w:rsidP="00191288">
            <w:pPr>
              <w:rPr>
                <w:b/>
              </w:rPr>
            </w:pPr>
            <w:r>
              <w:rPr>
                <w:b/>
              </w:rPr>
              <w:t>Bytes</w:t>
            </w:r>
          </w:p>
        </w:tc>
        <w:tc>
          <w:tcPr>
            <w:tcW w:w="1799" w:type="dxa"/>
          </w:tcPr>
          <w:p w:rsidR="008C0D24" w:rsidRPr="008C0D24" w:rsidRDefault="008C0D24" w:rsidP="00191288">
            <w:pPr>
              <w:rPr>
                <w:b/>
              </w:rPr>
            </w:pPr>
            <w:r>
              <w:rPr>
                <w:b/>
              </w:rPr>
              <w:t>Field Name</w:t>
            </w:r>
          </w:p>
        </w:tc>
        <w:tc>
          <w:tcPr>
            <w:tcW w:w="7033" w:type="dxa"/>
          </w:tcPr>
          <w:p w:rsidR="008C0D24" w:rsidRPr="008C0D24" w:rsidRDefault="008C0D24" w:rsidP="00191288">
            <w:pPr>
              <w:rPr>
                <w:b/>
              </w:rPr>
            </w:pPr>
            <w:r>
              <w:rPr>
                <w:b/>
              </w:rPr>
              <w:t>Purpose</w:t>
            </w:r>
          </w:p>
        </w:tc>
      </w:tr>
      <w:tr w:rsidR="008C0D24" w:rsidTr="008C0D24">
        <w:tc>
          <w:tcPr>
            <w:tcW w:w="744" w:type="dxa"/>
          </w:tcPr>
          <w:p w:rsidR="008C0D24" w:rsidRPr="008C0D24" w:rsidRDefault="008C0D24" w:rsidP="008C0D24">
            <w:pPr>
              <w:jc w:val="center"/>
            </w:pPr>
            <w:r w:rsidRPr="008C0D24">
              <w:t>1</w:t>
            </w:r>
          </w:p>
        </w:tc>
        <w:tc>
          <w:tcPr>
            <w:tcW w:w="1799" w:type="dxa"/>
          </w:tcPr>
          <w:p w:rsidR="008C0D24" w:rsidRPr="008C0D24" w:rsidRDefault="008C0D24" w:rsidP="00191288">
            <w:r w:rsidRPr="008C0D24">
              <w:t>Sync</w:t>
            </w:r>
          </w:p>
        </w:tc>
        <w:tc>
          <w:tcPr>
            <w:tcW w:w="7033" w:type="dxa"/>
          </w:tcPr>
          <w:p w:rsidR="008C0D24" w:rsidRPr="008C0D24" w:rsidRDefault="008C0D24" w:rsidP="00191288">
            <w:r w:rsidRPr="008C0D24">
              <w:t>0xAA to sync incoming data field</w:t>
            </w:r>
          </w:p>
        </w:tc>
      </w:tr>
      <w:tr w:rsidR="008C0D24" w:rsidTr="008C0D24">
        <w:tc>
          <w:tcPr>
            <w:tcW w:w="744" w:type="dxa"/>
          </w:tcPr>
          <w:p w:rsidR="008C0D24" w:rsidRPr="008C0D24" w:rsidRDefault="008C0D24" w:rsidP="008C0D24">
            <w:pPr>
              <w:jc w:val="center"/>
            </w:pPr>
            <w:r w:rsidRPr="008C0D24">
              <w:t>1</w:t>
            </w:r>
          </w:p>
        </w:tc>
        <w:tc>
          <w:tcPr>
            <w:tcW w:w="1799" w:type="dxa"/>
          </w:tcPr>
          <w:p w:rsidR="008C0D24" w:rsidRPr="008C0D24" w:rsidRDefault="008C0D24" w:rsidP="00191288">
            <w:proofErr w:type="spellStart"/>
            <w:r w:rsidRPr="008C0D24">
              <w:t>LogType</w:t>
            </w:r>
            <w:proofErr w:type="spellEnd"/>
          </w:p>
        </w:tc>
        <w:tc>
          <w:tcPr>
            <w:tcW w:w="7033" w:type="dxa"/>
          </w:tcPr>
          <w:p w:rsidR="008C0D24" w:rsidRPr="008C0D24" w:rsidRDefault="008C0D24" w:rsidP="00191288">
            <w:r w:rsidRPr="008C0D24">
              <w:t>Identifies type of instrument</w:t>
            </w:r>
          </w:p>
        </w:tc>
      </w:tr>
      <w:tr w:rsidR="008C0D24" w:rsidTr="008C0D24">
        <w:tc>
          <w:tcPr>
            <w:tcW w:w="744" w:type="dxa"/>
          </w:tcPr>
          <w:p w:rsidR="008C0D24" w:rsidRPr="008C0D24" w:rsidRDefault="008C0D24" w:rsidP="008C0D24">
            <w:pPr>
              <w:jc w:val="center"/>
            </w:pPr>
            <w:r>
              <w:t>2</w:t>
            </w:r>
          </w:p>
        </w:tc>
        <w:tc>
          <w:tcPr>
            <w:tcW w:w="1799" w:type="dxa"/>
          </w:tcPr>
          <w:p w:rsidR="008C0D24" w:rsidRPr="008C0D24" w:rsidRDefault="008C0D24" w:rsidP="00191288">
            <w:proofErr w:type="spellStart"/>
            <w:r>
              <w:t>LogBlock</w:t>
            </w:r>
            <w:proofErr w:type="spellEnd"/>
          </w:p>
        </w:tc>
        <w:tc>
          <w:tcPr>
            <w:tcW w:w="7033" w:type="dxa"/>
          </w:tcPr>
          <w:p w:rsidR="008C0D24" w:rsidRPr="008C0D24" w:rsidRDefault="008C0D24" w:rsidP="00191288">
            <w:r>
              <w:t>Record “block” number, due to segmented memory for storage</w:t>
            </w:r>
          </w:p>
        </w:tc>
      </w:tr>
      <w:tr w:rsidR="008C0D24" w:rsidTr="008C0D24">
        <w:tc>
          <w:tcPr>
            <w:tcW w:w="744" w:type="dxa"/>
          </w:tcPr>
          <w:p w:rsidR="008C0D24" w:rsidRPr="008C0D24" w:rsidRDefault="008C0D24" w:rsidP="008C0D24">
            <w:pPr>
              <w:jc w:val="center"/>
            </w:pPr>
            <w:r>
              <w:t>2</w:t>
            </w:r>
          </w:p>
        </w:tc>
        <w:tc>
          <w:tcPr>
            <w:tcW w:w="1799" w:type="dxa"/>
          </w:tcPr>
          <w:p w:rsidR="008C0D24" w:rsidRPr="008C0D24" w:rsidRDefault="008C0D24" w:rsidP="00191288">
            <w:proofErr w:type="spellStart"/>
            <w:r>
              <w:t>LogRecord</w:t>
            </w:r>
            <w:proofErr w:type="spellEnd"/>
          </w:p>
        </w:tc>
        <w:tc>
          <w:tcPr>
            <w:tcW w:w="7033" w:type="dxa"/>
          </w:tcPr>
          <w:p w:rsidR="008C0D24" w:rsidRPr="008C0D24" w:rsidRDefault="008C0D24" w:rsidP="00191288">
            <w:r>
              <w:t>Record number within block</w:t>
            </w:r>
          </w:p>
        </w:tc>
      </w:tr>
      <w:tr w:rsidR="008C0D24" w:rsidTr="008C0D24">
        <w:tc>
          <w:tcPr>
            <w:tcW w:w="744" w:type="dxa"/>
          </w:tcPr>
          <w:p w:rsidR="008C0D24" w:rsidRPr="008C0D24" w:rsidRDefault="008C0D24" w:rsidP="008C0D24">
            <w:pPr>
              <w:jc w:val="center"/>
            </w:pPr>
            <w:r>
              <w:t>2</w:t>
            </w:r>
          </w:p>
        </w:tc>
        <w:tc>
          <w:tcPr>
            <w:tcW w:w="1799" w:type="dxa"/>
          </w:tcPr>
          <w:p w:rsidR="008C0D24" w:rsidRPr="008C0D24" w:rsidRDefault="008C0D24" w:rsidP="00191288">
            <w:proofErr w:type="spellStart"/>
            <w:r>
              <w:t>LogLen</w:t>
            </w:r>
            <w:proofErr w:type="spellEnd"/>
          </w:p>
        </w:tc>
        <w:tc>
          <w:tcPr>
            <w:tcW w:w="7033" w:type="dxa"/>
          </w:tcPr>
          <w:p w:rsidR="008C0D24" w:rsidRPr="008C0D24" w:rsidRDefault="008C0D24" w:rsidP="00191288">
            <w:r>
              <w:t>Length of payload, starting with “Data”</w:t>
            </w:r>
          </w:p>
        </w:tc>
      </w:tr>
      <w:tr w:rsidR="008C0D24" w:rsidTr="008C0D24">
        <w:tc>
          <w:tcPr>
            <w:tcW w:w="744" w:type="dxa"/>
          </w:tcPr>
          <w:p w:rsidR="008C0D24" w:rsidRPr="008C0D24" w:rsidRDefault="008C0D24" w:rsidP="008C0D24">
            <w:pPr>
              <w:jc w:val="center"/>
            </w:pPr>
            <w:r>
              <w:t>4</w:t>
            </w:r>
          </w:p>
        </w:tc>
        <w:tc>
          <w:tcPr>
            <w:tcW w:w="1799" w:type="dxa"/>
          </w:tcPr>
          <w:p w:rsidR="008C0D24" w:rsidRPr="008C0D24" w:rsidRDefault="008C0D24" w:rsidP="00191288">
            <w:proofErr w:type="spellStart"/>
            <w:r>
              <w:t>LogTime</w:t>
            </w:r>
            <w:proofErr w:type="spellEnd"/>
          </w:p>
        </w:tc>
        <w:tc>
          <w:tcPr>
            <w:tcW w:w="7033" w:type="dxa"/>
          </w:tcPr>
          <w:p w:rsidR="008C0D24" w:rsidRPr="008C0D24" w:rsidRDefault="008C0D24" w:rsidP="00191288">
            <w:proofErr w:type="spellStart"/>
            <w:r>
              <w:t>time_t</w:t>
            </w:r>
            <w:proofErr w:type="spellEnd"/>
            <w:r>
              <w:t xml:space="preserve"> when record was obtained</w:t>
            </w:r>
          </w:p>
        </w:tc>
      </w:tr>
      <w:tr w:rsidR="008C0D24" w:rsidTr="008C0D24">
        <w:tc>
          <w:tcPr>
            <w:tcW w:w="744" w:type="dxa"/>
          </w:tcPr>
          <w:p w:rsidR="008C0D24" w:rsidRPr="008C0D24" w:rsidRDefault="008C0D24" w:rsidP="008C0D24">
            <w:pPr>
              <w:jc w:val="center"/>
            </w:pPr>
            <w:r>
              <w:t>varies</w:t>
            </w:r>
          </w:p>
        </w:tc>
        <w:tc>
          <w:tcPr>
            <w:tcW w:w="1799" w:type="dxa"/>
          </w:tcPr>
          <w:p w:rsidR="008C0D24" w:rsidRPr="008C0D24" w:rsidRDefault="008C0D24" w:rsidP="00191288">
            <w:r>
              <w:t>Data</w:t>
            </w:r>
          </w:p>
        </w:tc>
        <w:tc>
          <w:tcPr>
            <w:tcW w:w="7033" w:type="dxa"/>
          </w:tcPr>
          <w:p w:rsidR="008C0D24" w:rsidRPr="008C0D24" w:rsidRDefault="008C0D24" w:rsidP="00191288">
            <w:r>
              <w:t>Data payload</w:t>
            </w:r>
          </w:p>
        </w:tc>
      </w:tr>
    </w:tbl>
    <w:p w:rsidR="002171E8" w:rsidRDefault="002171E8" w:rsidP="002171E8"/>
    <w:p w:rsidR="008C0D24" w:rsidRDefault="008C0D24">
      <w:pPr>
        <w:rPr>
          <w:rFonts w:asciiTheme="majorHAnsi" w:eastAsiaTheme="majorEastAsia" w:hAnsiTheme="majorHAnsi" w:cstheme="majorBidi"/>
          <w:b/>
          <w:bCs/>
          <w:color w:val="365F91" w:themeColor="accent1" w:themeShade="BF"/>
          <w:sz w:val="28"/>
          <w:szCs w:val="28"/>
        </w:rPr>
      </w:pPr>
      <w:r>
        <w:br w:type="page"/>
      </w:r>
    </w:p>
    <w:p w:rsidR="008C0D24" w:rsidRDefault="00256811" w:rsidP="008C0D24">
      <w:pPr>
        <w:pStyle w:val="Heading1"/>
      </w:pPr>
      <w:r>
        <w:lastRenderedPageBreak/>
        <w:t xml:space="preserve">Log Protocol 2, </w:t>
      </w:r>
      <w:r w:rsidR="008C0D24">
        <w:t>Feb 2011 to present</w:t>
      </w:r>
    </w:p>
    <w:p w:rsidR="008C0D24" w:rsidRDefault="008C0D24" w:rsidP="008C0D24">
      <w:r>
        <w:t xml:space="preserve">In Feb 2011, the protocol was extended to allow 16 bits for Log Type.  This was done by inserting a protocol byte where </w:t>
      </w:r>
      <w:proofErr w:type="spellStart"/>
      <w:r>
        <w:t>LogType</w:t>
      </w:r>
      <w:proofErr w:type="spellEnd"/>
      <w:r>
        <w:t xml:space="preserve"> used to be, using a value larger than any existing log type.  This </w:t>
      </w:r>
      <w:r w:rsidR="00EC726A">
        <w:t>protocol byte was set to 150 decimal, or 0x96, with the intent that further protocol extensions could use subsequent numbers.</w:t>
      </w:r>
    </w:p>
    <w:tbl>
      <w:tblPr>
        <w:tblStyle w:val="TableGrid"/>
        <w:tblW w:w="0" w:type="auto"/>
        <w:tblLook w:val="04A0" w:firstRow="1" w:lastRow="0" w:firstColumn="1" w:lastColumn="0" w:noHBand="0" w:noVBand="1"/>
      </w:tblPr>
      <w:tblGrid>
        <w:gridCol w:w="744"/>
        <w:gridCol w:w="1799"/>
        <w:gridCol w:w="7033"/>
      </w:tblGrid>
      <w:tr w:rsidR="008C0D24" w:rsidTr="00435800">
        <w:tc>
          <w:tcPr>
            <w:tcW w:w="738" w:type="dxa"/>
          </w:tcPr>
          <w:p w:rsidR="008C0D24" w:rsidRPr="008C0D24" w:rsidRDefault="008C0D24" w:rsidP="00435800">
            <w:pPr>
              <w:rPr>
                <w:b/>
              </w:rPr>
            </w:pPr>
            <w:r>
              <w:rPr>
                <w:b/>
              </w:rPr>
              <w:t>Bytes</w:t>
            </w:r>
          </w:p>
        </w:tc>
        <w:tc>
          <w:tcPr>
            <w:tcW w:w="1800" w:type="dxa"/>
          </w:tcPr>
          <w:p w:rsidR="008C0D24" w:rsidRPr="008C0D24" w:rsidRDefault="008C0D24" w:rsidP="00435800">
            <w:pPr>
              <w:rPr>
                <w:b/>
              </w:rPr>
            </w:pPr>
            <w:r>
              <w:rPr>
                <w:b/>
              </w:rPr>
              <w:t>Field Name</w:t>
            </w:r>
          </w:p>
        </w:tc>
        <w:tc>
          <w:tcPr>
            <w:tcW w:w="7038" w:type="dxa"/>
          </w:tcPr>
          <w:p w:rsidR="008C0D24" w:rsidRPr="008C0D24" w:rsidRDefault="008C0D24" w:rsidP="00435800">
            <w:pPr>
              <w:rPr>
                <w:b/>
              </w:rPr>
            </w:pPr>
            <w:r>
              <w:rPr>
                <w:b/>
              </w:rPr>
              <w:t>Purpose</w:t>
            </w:r>
          </w:p>
        </w:tc>
      </w:tr>
      <w:tr w:rsidR="008C0D24" w:rsidTr="00435800">
        <w:tc>
          <w:tcPr>
            <w:tcW w:w="738" w:type="dxa"/>
          </w:tcPr>
          <w:p w:rsidR="008C0D24" w:rsidRPr="008C0D24" w:rsidRDefault="008C0D24" w:rsidP="00435800">
            <w:pPr>
              <w:jc w:val="center"/>
            </w:pPr>
            <w:r w:rsidRPr="008C0D24">
              <w:t>1</w:t>
            </w:r>
          </w:p>
        </w:tc>
        <w:tc>
          <w:tcPr>
            <w:tcW w:w="1800" w:type="dxa"/>
          </w:tcPr>
          <w:p w:rsidR="008C0D24" w:rsidRPr="008C0D24" w:rsidRDefault="008C0D24" w:rsidP="00435800">
            <w:r w:rsidRPr="008C0D24">
              <w:t>Sync</w:t>
            </w:r>
          </w:p>
        </w:tc>
        <w:tc>
          <w:tcPr>
            <w:tcW w:w="7038" w:type="dxa"/>
          </w:tcPr>
          <w:p w:rsidR="008C0D24" w:rsidRPr="008C0D24" w:rsidRDefault="008C0D24" w:rsidP="00435800">
            <w:r w:rsidRPr="008C0D24">
              <w:t>0xAA to sync incoming data field</w:t>
            </w:r>
          </w:p>
        </w:tc>
      </w:tr>
      <w:tr w:rsidR="008C0D24" w:rsidTr="00435800">
        <w:tc>
          <w:tcPr>
            <w:tcW w:w="738" w:type="dxa"/>
          </w:tcPr>
          <w:p w:rsidR="008C0D24" w:rsidRPr="008C0D24" w:rsidRDefault="00EC726A" w:rsidP="00435800">
            <w:pPr>
              <w:jc w:val="center"/>
            </w:pPr>
            <w:r>
              <w:t>1</w:t>
            </w:r>
          </w:p>
        </w:tc>
        <w:tc>
          <w:tcPr>
            <w:tcW w:w="1800" w:type="dxa"/>
          </w:tcPr>
          <w:p w:rsidR="008C0D24" w:rsidRPr="008C0D24" w:rsidRDefault="00EC726A" w:rsidP="00435800">
            <w:proofErr w:type="spellStart"/>
            <w:r>
              <w:t>LogProtocol</w:t>
            </w:r>
            <w:proofErr w:type="spellEnd"/>
          </w:p>
        </w:tc>
        <w:tc>
          <w:tcPr>
            <w:tcW w:w="7038" w:type="dxa"/>
          </w:tcPr>
          <w:p w:rsidR="008C0D24" w:rsidRPr="008C0D24" w:rsidRDefault="00B071F8" w:rsidP="00435800">
            <w:r>
              <w:t>0x96 to identify LOG_PROTOCOL_2</w:t>
            </w:r>
          </w:p>
        </w:tc>
      </w:tr>
      <w:tr w:rsidR="00EC726A" w:rsidTr="00435800">
        <w:tc>
          <w:tcPr>
            <w:tcW w:w="738" w:type="dxa"/>
          </w:tcPr>
          <w:p w:rsidR="00EC726A" w:rsidRPr="008C0D24" w:rsidRDefault="00EC726A" w:rsidP="00435800">
            <w:pPr>
              <w:jc w:val="center"/>
            </w:pPr>
            <w:r>
              <w:t>2</w:t>
            </w:r>
          </w:p>
        </w:tc>
        <w:tc>
          <w:tcPr>
            <w:tcW w:w="1800" w:type="dxa"/>
          </w:tcPr>
          <w:p w:rsidR="00EC726A" w:rsidRPr="008C0D24" w:rsidRDefault="00EC726A" w:rsidP="00435800">
            <w:proofErr w:type="spellStart"/>
            <w:r w:rsidRPr="008C0D24">
              <w:t>LogType</w:t>
            </w:r>
            <w:proofErr w:type="spellEnd"/>
          </w:p>
        </w:tc>
        <w:tc>
          <w:tcPr>
            <w:tcW w:w="7038" w:type="dxa"/>
          </w:tcPr>
          <w:p w:rsidR="00EC726A" w:rsidRPr="008C0D24" w:rsidRDefault="00EC726A" w:rsidP="00435800">
            <w:r w:rsidRPr="008C0D24">
              <w:t>Identifies type of instrument</w:t>
            </w:r>
          </w:p>
        </w:tc>
      </w:tr>
      <w:tr w:rsidR="00EC726A" w:rsidTr="00435800">
        <w:tc>
          <w:tcPr>
            <w:tcW w:w="738" w:type="dxa"/>
          </w:tcPr>
          <w:p w:rsidR="00EC726A" w:rsidRPr="008C0D24" w:rsidRDefault="00EC726A" w:rsidP="00435800">
            <w:pPr>
              <w:jc w:val="center"/>
            </w:pPr>
            <w:r>
              <w:t>2</w:t>
            </w:r>
          </w:p>
        </w:tc>
        <w:tc>
          <w:tcPr>
            <w:tcW w:w="1800" w:type="dxa"/>
          </w:tcPr>
          <w:p w:rsidR="00EC726A" w:rsidRPr="008C0D24" w:rsidRDefault="00EC726A" w:rsidP="00435800">
            <w:proofErr w:type="spellStart"/>
            <w:r>
              <w:t>LogBlock</w:t>
            </w:r>
            <w:proofErr w:type="spellEnd"/>
          </w:p>
        </w:tc>
        <w:tc>
          <w:tcPr>
            <w:tcW w:w="7038" w:type="dxa"/>
          </w:tcPr>
          <w:p w:rsidR="00EC726A" w:rsidRPr="008C0D24" w:rsidRDefault="00EC726A" w:rsidP="00435800">
            <w:r>
              <w:t>Record “block” number, due to segmented memory for storage</w:t>
            </w:r>
          </w:p>
        </w:tc>
      </w:tr>
      <w:tr w:rsidR="00EC726A" w:rsidTr="00435800">
        <w:tc>
          <w:tcPr>
            <w:tcW w:w="738" w:type="dxa"/>
          </w:tcPr>
          <w:p w:rsidR="00EC726A" w:rsidRPr="008C0D24" w:rsidRDefault="00EC726A" w:rsidP="00435800">
            <w:pPr>
              <w:jc w:val="center"/>
            </w:pPr>
            <w:r>
              <w:t>2</w:t>
            </w:r>
          </w:p>
        </w:tc>
        <w:tc>
          <w:tcPr>
            <w:tcW w:w="1800" w:type="dxa"/>
          </w:tcPr>
          <w:p w:rsidR="00EC726A" w:rsidRPr="008C0D24" w:rsidRDefault="00EC726A" w:rsidP="00435800">
            <w:proofErr w:type="spellStart"/>
            <w:r>
              <w:t>LogRecord</w:t>
            </w:r>
            <w:proofErr w:type="spellEnd"/>
          </w:p>
        </w:tc>
        <w:tc>
          <w:tcPr>
            <w:tcW w:w="7038" w:type="dxa"/>
          </w:tcPr>
          <w:p w:rsidR="00EC726A" w:rsidRPr="008C0D24" w:rsidRDefault="00EC726A" w:rsidP="00435800">
            <w:r>
              <w:t>Record number within block</w:t>
            </w:r>
          </w:p>
        </w:tc>
      </w:tr>
      <w:tr w:rsidR="00EC726A" w:rsidTr="00435800">
        <w:tc>
          <w:tcPr>
            <w:tcW w:w="738" w:type="dxa"/>
          </w:tcPr>
          <w:p w:rsidR="00EC726A" w:rsidRPr="008C0D24" w:rsidRDefault="00EC726A" w:rsidP="00435800">
            <w:pPr>
              <w:jc w:val="center"/>
            </w:pPr>
            <w:r>
              <w:t>2</w:t>
            </w:r>
          </w:p>
        </w:tc>
        <w:tc>
          <w:tcPr>
            <w:tcW w:w="1800" w:type="dxa"/>
          </w:tcPr>
          <w:p w:rsidR="00EC726A" w:rsidRPr="008C0D24" w:rsidRDefault="00EC726A" w:rsidP="00435800">
            <w:proofErr w:type="spellStart"/>
            <w:r>
              <w:t>LogLen</w:t>
            </w:r>
            <w:proofErr w:type="spellEnd"/>
          </w:p>
        </w:tc>
        <w:tc>
          <w:tcPr>
            <w:tcW w:w="7038" w:type="dxa"/>
          </w:tcPr>
          <w:p w:rsidR="00EC726A" w:rsidRPr="008C0D24" w:rsidRDefault="00EC726A" w:rsidP="00435800">
            <w:r>
              <w:t>Length of payload, starting with “Data”</w:t>
            </w:r>
          </w:p>
        </w:tc>
      </w:tr>
      <w:tr w:rsidR="00EC726A" w:rsidTr="00435800">
        <w:tc>
          <w:tcPr>
            <w:tcW w:w="738" w:type="dxa"/>
          </w:tcPr>
          <w:p w:rsidR="00EC726A" w:rsidRPr="008C0D24" w:rsidRDefault="00EC726A" w:rsidP="00435800">
            <w:pPr>
              <w:jc w:val="center"/>
            </w:pPr>
            <w:r>
              <w:t>4</w:t>
            </w:r>
          </w:p>
        </w:tc>
        <w:tc>
          <w:tcPr>
            <w:tcW w:w="1800" w:type="dxa"/>
          </w:tcPr>
          <w:p w:rsidR="00EC726A" w:rsidRPr="008C0D24" w:rsidRDefault="00EC726A" w:rsidP="00435800">
            <w:proofErr w:type="spellStart"/>
            <w:r>
              <w:t>LogTime</w:t>
            </w:r>
            <w:proofErr w:type="spellEnd"/>
          </w:p>
        </w:tc>
        <w:tc>
          <w:tcPr>
            <w:tcW w:w="7038" w:type="dxa"/>
          </w:tcPr>
          <w:p w:rsidR="00EC726A" w:rsidRPr="008C0D24" w:rsidRDefault="00EC726A" w:rsidP="00435800">
            <w:proofErr w:type="spellStart"/>
            <w:r>
              <w:t>time_t</w:t>
            </w:r>
            <w:proofErr w:type="spellEnd"/>
            <w:r>
              <w:t xml:space="preserve"> when record was obtained</w:t>
            </w:r>
          </w:p>
        </w:tc>
      </w:tr>
      <w:tr w:rsidR="00EC726A" w:rsidTr="00435800">
        <w:tc>
          <w:tcPr>
            <w:tcW w:w="738" w:type="dxa"/>
          </w:tcPr>
          <w:p w:rsidR="00EC726A" w:rsidRPr="008C0D24" w:rsidRDefault="00EC726A" w:rsidP="00435800">
            <w:pPr>
              <w:jc w:val="center"/>
            </w:pPr>
            <w:r>
              <w:t>varies</w:t>
            </w:r>
          </w:p>
        </w:tc>
        <w:tc>
          <w:tcPr>
            <w:tcW w:w="1800" w:type="dxa"/>
          </w:tcPr>
          <w:p w:rsidR="00EC726A" w:rsidRPr="008C0D24" w:rsidRDefault="00EC726A" w:rsidP="00435800">
            <w:r>
              <w:t>Data</w:t>
            </w:r>
          </w:p>
        </w:tc>
        <w:tc>
          <w:tcPr>
            <w:tcW w:w="7038" w:type="dxa"/>
          </w:tcPr>
          <w:p w:rsidR="00EC726A" w:rsidRPr="008C0D24" w:rsidRDefault="00EC726A" w:rsidP="00435800">
            <w:r>
              <w:t>Data payload</w:t>
            </w:r>
          </w:p>
        </w:tc>
      </w:tr>
    </w:tbl>
    <w:p w:rsidR="008C0D24" w:rsidRDefault="008C0D24" w:rsidP="002171E8"/>
    <w:p w:rsidR="00EC726A" w:rsidRDefault="00EC726A" w:rsidP="00EC726A">
      <w:pPr>
        <w:pStyle w:val="Heading1"/>
      </w:pPr>
      <w:r>
        <w:t>New OASIS5 OTA protocol</w:t>
      </w:r>
    </w:p>
    <w:p w:rsidR="00EC726A" w:rsidRDefault="00EC726A" w:rsidP="00EC726A">
      <w:r>
        <w:t xml:space="preserve">This new protocol will take effect for OASIS5 controllers.  Note that </w:t>
      </w:r>
      <w:r w:rsidR="000D07DD">
        <w:t xml:space="preserve">any existing OASIS3 and OASIS4 </w:t>
      </w:r>
      <w:r>
        <w:t>controllers will continue to use Log Protocol 2.</w:t>
      </w:r>
    </w:p>
    <w:tbl>
      <w:tblPr>
        <w:tblStyle w:val="TableGrid"/>
        <w:tblW w:w="0" w:type="auto"/>
        <w:tblLook w:val="04A0" w:firstRow="1" w:lastRow="0" w:firstColumn="1" w:lastColumn="0" w:noHBand="0" w:noVBand="1"/>
      </w:tblPr>
      <w:tblGrid>
        <w:gridCol w:w="744"/>
        <w:gridCol w:w="1799"/>
        <w:gridCol w:w="7033"/>
      </w:tblGrid>
      <w:tr w:rsidR="00B071F8" w:rsidTr="00B071F8">
        <w:tc>
          <w:tcPr>
            <w:tcW w:w="744" w:type="dxa"/>
          </w:tcPr>
          <w:p w:rsidR="00B071F8" w:rsidRPr="008C0D24" w:rsidRDefault="00B071F8" w:rsidP="00435800">
            <w:pPr>
              <w:rPr>
                <w:b/>
              </w:rPr>
            </w:pPr>
            <w:r>
              <w:rPr>
                <w:b/>
              </w:rPr>
              <w:t>Bytes</w:t>
            </w:r>
          </w:p>
        </w:tc>
        <w:tc>
          <w:tcPr>
            <w:tcW w:w="1799" w:type="dxa"/>
          </w:tcPr>
          <w:p w:rsidR="00B071F8" w:rsidRPr="008C0D24" w:rsidRDefault="00B071F8" w:rsidP="00435800">
            <w:pPr>
              <w:rPr>
                <w:b/>
              </w:rPr>
            </w:pPr>
            <w:r>
              <w:rPr>
                <w:b/>
              </w:rPr>
              <w:t>Field Name</w:t>
            </w:r>
          </w:p>
        </w:tc>
        <w:tc>
          <w:tcPr>
            <w:tcW w:w="7033" w:type="dxa"/>
          </w:tcPr>
          <w:p w:rsidR="00B071F8" w:rsidRPr="008C0D24" w:rsidRDefault="00B071F8" w:rsidP="00435800">
            <w:pPr>
              <w:rPr>
                <w:b/>
              </w:rPr>
            </w:pPr>
            <w:r>
              <w:rPr>
                <w:b/>
              </w:rPr>
              <w:t>Purpose</w:t>
            </w:r>
          </w:p>
        </w:tc>
      </w:tr>
      <w:tr w:rsidR="00B071F8" w:rsidTr="00B071F8">
        <w:tc>
          <w:tcPr>
            <w:tcW w:w="744" w:type="dxa"/>
          </w:tcPr>
          <w:p w:rsidR="00B071F8" w:rsidRPr="008C0D24" w:rsidRDefault="00B071F8" w:rsidP="00435800">
            <w:pPr>
              <w:jc w:val="center"/>
            </w:pPr>
            <w:r w:rsidRPr="008C0D24">
              <w:t>1</w:t>
            </w:r>
          </w:p>
        </w:tc>
        <w:tc>
          <w:tcPr>
            <w:tcW w:w="1799" w:type="dxa"/>
          </w:tcPr>
          <w:p w:rsidR="00B071F8" w:rsidRPr="008C0D24" w:rsidRDefault="00B071F8" w:rsidP="00435800">
            <w:r w:rsidRPr="008C0D24">
              <w:t>Sync</w:t>
            </w:r>
          </w:p>
        </w:tc>
        <w:tc>
          <w:tcPr>
            <w:tcW w:w="7033" w:type="dxa"/>
          </w:tcPr>
          <w:p w:rsidR="00B071F8" w:rsidRPr="008C0D24" w:rsidRDefault="00B071F8" w:rsidP="00435800">
            <w:r w:rsidRPr="008C0D24">
              <w:t>0xAA to sync incoming data field</w:t>
            </w:r>
          </w:p>
        </w:tc>
      </w:tr>
      <w:tr w:rsidR="00B071F8" w:rsidTr="00B071F8">
        <w:tc>
          <w:tcPr>
            <w:tcW w:w="744" w:type="dxa"/>
          </w:tcPr>
          <w:p w:rsidR="00B071F8" w:rsidRPr="008C0D24" w:rsidRDefault="00B071F8" w:rsidP="00435800">
            <w:pPr>
              <w:jc w:val="center"/>
            </w:pPr>
            <w:r>
              <w:t>1</w:t>
            </w:r>
          </w:p>
        </w:tc>
        <w:tc>
          <w:tcPr>
            <w:tcW w:w="1799" w:type="dxa"/>
          </w:tcPr>
          <w:p w:rsidR="00B071F8" w:rsidRPr="008C0D24" w:rsidRDefault="00B071F8" w:rsidP="00435800">
            <w:r>
              <w:t>Protocol</w:t>
            </w:r>
          </w:p>
        </w:tc>
        <w:tc>
          <w:tcPr>
            <w:tcW w:w="7033" w:type="dxa"/>
          </w:tcPr>
          <w:p w:rsidR="00B071F8" w:rsidRPr="008C0D24" w:rsidRDefault="006B1935" w:rsidP="00435800">
            <w:r>
              <w:t>0x97</w:t>
            </w:r>
            <w:r w:rsidR="00B071F8">
              <w:t xml:space="preserve"> to identify LOG_PROTOCOL_3</w:t>
            </w:r>
          </w:p>
        </w:tc>
      </w:tr>
      <w:tr w:rsidR="00B071F8" w:rsidTr="00B071F8">
        <w:tc>
          <w:tcPr>
            <w:tcW w:w="744" w:type="dxa"/>
          </w:tcPr>
          <w:p w:rsidR="00B071F8" w:rsidRPr="008C0D24" w:rsidRDefault="00B071F8" w:rsidP="00435800">
            <w:pPr>
              <w:jc w:val="center"/>
            </w:pPr>
            <w:r>
              <w:t>16</w:t>
            </w:r>
          </w:p>
        </w:tc>
        <w:tc>
          <w:tcPr>
            <w:tcW w:w="1799" w:type="dxa"/>
          </w:tcPr>
          <w:p w:rsidR="00B071F8" w:rsidRPr="008C0D24" w:rsidRDefault="00B071F8" w:rsidP="00435800">
            <w:proofErr w:type="spellStart"/>
            <w:r>
              <w:t>InstrumentID</w:t>
            </w:r>
            <w:proofErr w:type="spellEnd"/>
          </w:p>
        </w:tc>
        <w:tc>
          <w:tcPr>
            <w:tcW w:w="7033" w:type="dxa"/>
          </w:tcPr>
          <w:p w:rsidR="00B071F8" w:rsidRPr="008C0D24" w:rsidRDefault="00B071F8" w:rsidP="00435800">
            <w:r>
              <w:t>ASCII name of instrument</w:t>
            </w:r>
          </w:p>
        </w:tc>
      </w:tr>
      <w:tr w:rsidR="00B071F8" w:rsidTr="00B071F8">
        <w:tc>
          <w:tcPr>
            <w:tcW w:w="744" w:type="dxa"/>
          </w:tcPr>
          <w:p w:rsidR="00B071F8" w:rsidRPr="008C0D24" w:rsidRDefault="00B071F8" w:rsidP="00435800">
            <w:pPr>
              <w:jc w:val="center"/>
            </w:pPr>
            <w:r>
              <w:t>2</w:t>
            </w:r>
          </w:p>
        </w:tc>
        <w:tc>
          <w:tcPr>
            <w:tcW w:w="1799" w:type="dxa"/>
          </w:tcPr>
          <w:p w:rsidR="00B071F8" w:rsidRPr="008C0D24" w:rsidRDefault="00B071F8" w:rsidP="00435800">
            <w:proofErr w:type="spellStart"/>
            <w:r>
              <w:t>Record</w:t>
            </w:r>
            <w:r w:rsidRPr="008C0D24">
              <w:t>Type</w:t>
            </w:r>
            <w:proofErr w:type="spellEnd"/>
          </w:p>
        </w:tc>
        <w:tc>
          <w:tcPr>
            <w:tcW w:w="7033" w:type="dxa"/>
          </w:tcPr>
          <w:p w:rsidR="00B071F8" w:rsidRPr="008C0D24" w:rsidRDefault="00B071F8" w:rsidP="00B071F8">
            <w:r>
              <w:t>For now, just generic ASCII and generic binary</w:t>
            </w:r>
          </w:p>
        </w:tc>
      </w:tr>
      <w:tr w:rsidR="00B071F8" w:rsidTr="00B071F8">
        <w:tc>
          <w:tcPr>
            <w:tcW w:w="744" w:type="dxa"/>
          </w:tcPr>
          <w:p w:rsidR="00B071F8" w:rsidRPr="008C0D24" w:rsidRDefault="00B071F8" w:rsidP="00435800">
            <w:pPr>
              <w:jc w:val="center"/>
            </w:pPr>
            <w:r>
              <w:t>4</w:t>
            </w:r>
          </w:p>
        </w:tc>
        <w:tc>
          <w:tcPr>
            <w:tcW w:w="1799" w:type="dxa"/>
          </w:tcPr>
          <w:p w:rsidR="00B071F8" w:rsidRPr="008C0D24" w:rsidRDefault="00B071F8" w:rsidP="00435800">
            <w:proofErr w:type="spellStart"/>
            <w:r>
              <w:t>RecordNumber</w:t>
            </w:r>
            <w:proofErr w:type="spellEnd"/>
          </w:p>
        </w:tc>
        <w:tc>
          <w:tcPr>
            <w:tcW w:w="7033" w:type="dxa"/>
          </w:tcPr>
          <w:p w:rsidR="00B071F8" w:rsidRPr="008C0D24" w:rsidRDefault="00B071F8" w:rsidP="00B071F8">
            <w:r>
              <w:t>Record number</w:t>
            </w:r>
          </w:p>
        </w:tc>
      </w:tr>
      <w:tr w:rsidR="00124468" w:rsidTr="00B071F8">
        <w:tc>
          <w:tcPr>
            <w:tcW w:w="744" w:type="dxa"/>
          </w:tcPr>
          <w:p w:rsidR="00124468" w:rsidRPr="008C0D24" w:rsidRDefault="00124468" w:rsidP="00435800">
            <w:pPr>
              <w:jc w:val="center"/>
            </w:pPr>
            <w:r>
              <w:t>4</w:t>
            </w:r>
          </w:p>
        </w:tc>
        <w:tc>
          <w:tcPr>
            <w:tcW w:w="1799" w:type="dxa"/>
          </w:tcPr>
          <w:p w:rsidR="00124468" w:rsidRPr="008C0D24" w:rsidRDefault="00124468" w:rsidP="00435800">
            <w:r>
              <w:t>Time</w:t>
            </w:r>
          </w:p>
        </w:tc>
        <w:tc>
          <w:tcPr>
            <w:tcW w:w="7033" w:type="dxa"/>
          </w:tcPr>
          <w:p w:rsidR="00124468" w:rsidRPr="008C0D24" w:rsidRDefault="00124468" w:rsidP="00435800">
            <w:proofErr w:type="spellStart"/>
            <w:r>
              <w:t>time_t</w:t>
            </w:r>
            <w:proofErr w:type="spellEnd"/>
            <w:r>
              <w:t xml:space="preserve"> when record was obtained</w:t>
            </w:r>
          </w:p>
        </w:tc>
      </w:tr>
      <w:tr w:rsidR="00124468" w:rsidTr="00B071F8">
        <w:tc>
          <w:tcPr>
            <w:tcW w:w="744" w:type="dxa"/>
          </w:tcPr>
          <w:p w:rsidR="00124468" w:rsidRPr="008C0D24" w:rsidRDefault="00124468" w:rsidP="00435800">
            <w:pPr>
              <w:jc w:val="center"/>
            </w:pPr>
            <w:r>
              <w:t>2</w:t>
            </w:r>
          </w:p>
        </w:tc>
        <w:tc>
          <w:tcPr>
            <w:tcW w:w="1799" w:type="dxa"/>
          </w:tcPr>
          <w:p w:rsidR="00124468" w:rsidRPr="008C0D24" w:rsidRDefault="00124468" w:rsidP="00435800">
            <w:r>
              <w:t>Length</w:t>
            </w:r>
          </w:p>
        </w:tc>
        <w:tc>
          <w:tcPr>
            <w:tcW w:w="7033" w:type="dxa"/>
          </w:tcPr>
          <w:p w:rsidR="00124468" w:rsidRPr="008C0D24" w:rsidRDefault="00124468" w:rsidP="00435800">
            <w:r>
              <w:t>Length of payload, starting with “Data” and including trailing sync</w:t>
            </w:r>
          </w:p>
        </w:tc>
      </w:tr>
      <w:tr w:rsidR="00124468" w:rsidTr="00B071F8">
        <w:tc>
          <w:tcPr>
            <w:tcW w:w="744" w:type="dxa"/>
          </w:tcPr>
          <w:p w:rsidR="00124468" w:rsidRPr="008C0D24" w:rsidRDefault="00124468" w:rsidP="00435800">
            <w:pPr>
              <w:jc w:val="center"/>
            </w:pPr>
            <w:r>
              <w:t>varies</w:t>
            </w:r>
          </w:p>
        </w:tc>
        <w:tc>
          <w:tcPr>
            <w:tcW w:w="1799" w:type="dxa"/>
          </w:tcPr>
          <w:p w:rsidR="00124468" w:rsidRPr="008C0D24" w:rsidRDefault="00124468" w:rsidP="00435800">
            <w:r>
              <w:t>Data</w:t>
            </w:r>
          </w:p>
        </w:tc>
        <w:tc>
          <w:tcPr>
            <w:tcW w:w="7033" w:type="dxa"/>
          </w:tcPr>
          <w:p w:rsidR="00124468" w:rsidRPr="008C0D24" w:rsidRDefault="00124468" w:rsidP="00435800">
            <w:r>
              <w:t>Data payload</w:t>
            </w:r>
          </w:p>
        </w:tc>
      </w:tr>
      <w:tr w:rsidR="00124468" w:rsidTr="00B071F8">
        <w:tc>
          <w:tcPr>
            <w:tcW w:w="744" w:type="dxa"/>
          </w:tcPr>
          <w:p w:rsidR="00124468" w:rsidRDefault="00124468" w:rsidP="00435800">
            <w:pPr>
              <w:jc w:val="center"/>
            </w:pPr>
            <w:r>
              <w:t>1</w:t>
            </w:r>
          </w:p>
        </w:tc>
        <w:tc>
          <w:tcPr>
            <w:tcW w:w="1799" w:type="dxa"/>
          </w:tcPr>
          <w:p w:rsidR="00124468" w:rsidRDefault="00124468" w:rsidP="00435800">
            <w:r>
              <w:t>Trailing Sync</w:t>
            </w:r>
          </w:p>
        </w:tc>
        <w:tc>
          <w:tcPr>
            <w:tcW w:w="7033" w:type="dxa"/>
          </w:tcPr>
          <w:p w:rsidR="00124468" w:rsidRDefault="00124468" w:rsidP="00435800">
            <w:r>
              <w:t>0x55 for end of record</w:t>
            </w:r>
          </w:p>
        </w:tc>
      </w:tr>
    </w:tbl>
    <w:p w:rsidR="00B071F8" w:rsidRDefault="00B071F8" w:rsidP="00B071F8">
      <w:pPr>
        <w:pStyle w:val="Heading1"/>
      </w:pPr>
      <w:r>
        <w:t>Discussion</w:t>
      </w:r>
    </w:p>
    <w:p w:rsidR="005C087A" w:rsidRDefault="005C087A" w:rsidP="00B071F8">
      <w:pPr>
        <w:pStyle w:val="ListParagraph"/>
        <w:numPr>
          <w:ilvl w:val="0"/>
          <w:numId w:val="4"/>
        </w:numPr>
      </w:pPr>
      <w:r>
        <w:t>The first 2 fields are backward compatible, allowing distinction between OTA protocols.</w:t>
      </w:r>
      <w:bookmarkStart w:id="0" w:name="_GoBack"/>
      <w:bookmarkEnd w:id="0"/>
    </w:p>
    <w:p w:rsidR="00B071F8" w:rsidRDefault="00B071F8" w:rsidP="00B071F8">
      <w:pPr>
        <w:pStyle w:val="ListParagraph"/>
        <w:numPr>
          <w:ilvl w:val="0"/>
          <w:numId w:val="4"/>
        </w:numPr>
      </w:pPr>
      <w:r>
        <w:t xml:space="preserve">The 16 byte Instrument ID is an ASCII identifier for the specific instrument (not type).  Alphanumeric, underscore, and hyphen allowed.  </w:t>
      </w:r>
      <w:r w:rsidR="005C087A">
        <w:t>Configuration is error checked for conformity to those rules.  This ID is directly used by the shore-side system to create the subdirectory where the data will reside.  The entire payload between Sync and Trailing Sync is written to the data file.  No interpretation of data is done by the shore side; or, for that matter, by the data inspection routines by the deployed side.</w:t>
      </w:r>
    </w:p>
    <w:p w:rsidR="005C087A" w:rsidRDefault="005C087A" w:rsidP="00B071F8">
      <w:pPr>
        <w:pStyle w:val="ListParagraph"/>
        <w:numPr>
          <w:ilvl w:val="0"/>
          <w:numId w:val="4"/>
        </w:numPr>
      </w:pPr>
      <w:proofErr w:type="spellStart"/>
      <w:r>
        <w:t>RecordType</w:t>
      </w:r>
      <w:proofErr w:type="spellEnd"/>
      <w:r>
        <w:t xml:space="preserve"> is now vestigial.  At this writing, just 2 types are planned – generic </w:t>
      </w:r>
      <w:proofErr w:type="gramStart"/>
      <w:r>
        <w:t>asci</w:t>
      </w:r>
      <w:r w:rsidR="00504466">
        <w:t>i</w:t>
      </w:r>
      <w:proofErr w:type="gramEnd"/>
      <w:r>
        <w:t xml:space="preserve"> and generic binary, allowing deployed inspection routines to show the data in one of those formats.  But this </w:t>
      </w:r>
      <w:r>
        <w:lastRenderedPageBreak/>
        <w:t xml:space="preserve">field was included to allow instruments to specify one of several instrument formats if desired.  This </w:t>
      </w:r>
      <w:r w:rsidR="00124468">
        <w:t xml:space="preserve">use of </w:t>
      </w:r>
      <w:proofErr w:type="spellStart"/>
      <w:r w:rsidR="00124468">
        <w:t>RecordType</w:t>
      </w:r>
      <w:proofErr w:type="spellEnd"/>
      <w:r w:rsidR="00124468">
        <w:t xml:space="preserve"> is purely for the convenience of writers of instrument drivers and their shore-side data handling routines.  Neither the OASIS5 controller nor the shore-side data handling routines will do anything with it, other than perhaps displaying data in either ASCII or binary format.</w:t>
      </w:r>
    </w:p>
    <w:p w:rsidR="00124468" w:rsidRDefault="00124468" w:rsidP="00B071F8">
      <w:pPr>
        <w:pStyle w:val="ListParagraph"/>
        <w:numPr>
          <w:ilvl w:val="0"/>
          <w:numId w:val="4"/>
        </w:numPr>
      </w:pPr>
      <w:r>
        <w:t>Record Number is now a single 32 bit field.  This will greatly simplify both the deployed-side software and the missing record detection software on the shore side.</w:t>
      </w:r>
    </w:p>
    <w:p w:rsidR="00124468" w:rsidRDefault="00124468" w:rsidP="00B071F8">
      <w:pPr>
        <w:pStyle w:val="ListParagraph"/>
        <w:numPr>
          <w:ilvl w:val="0"/>
          <w:numId w:val="4"/>
        </w:numPr>
      </w:pPr>
      <w:r>
        <w:t xml:space="preserve">Time and Length were swapped </w:t>
      </w:r>
      <w:r w:rsidR="008F640C">
        <w:t>to allow proper 32 bit alignment.</w:t>
      </w:r>
    </w:p>
    <w:p w:rsidR="00124468" w:rsidRDefault="00124468" w:rsidP="00B071F8">
      <w:pPr>
        <w:pStyle w:val="ListParagraph"/>
        <w:numPr>
          <w:ilvl w:val="0"/>
          <w:numId w:val="4"/>
        </w:numPr>
      </w:pPr>
      <w:r>
        <w:t>A trailing sync field was added to allow more robust shore-side record handling when random sections of data are missing (a not uncommon occurrence).</w:t>
      </w:r>
    </w:p>
    <w:p w:rsidR="00124468" w:rsidRPr="00B071F8" w:rsidRDefault="00124468" w:rsidP="00124468"/>
    <w:sectPr w:rsidR="00124468" w:rsidRPr="00B071F8" w:rsidSect="00CF2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9709F"/>
    <w:multiLevelType w:val="hybridMultilevel"/>
    <w:tmpl w:val="AF38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756AF8"/>
    <w:multiLevelType w:val="hybridMultilevel"/>
    <w:tmpl w:val="F3BAF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909FA"/>
    <w:rsid w:val="000324D6"/>
    <w:rsid w:val="00052978"/>
    <w:rsid w:val="00081DAF"/>
    <w:rsid w:val="0009027F"/>
    <w:rsid w:val="000D07DD"/>
    <w:rsid w:val="00124311"/>
    <w:rsid w:val="00124468"/>
    <w:rsid w:val="00190D4E"/>
    <w:rsid w:val="00191288"/>
    <w:rsid w:val="002171E8"/>
    <w:rsid w:val="00256811"/>
    <w:rsid w:val="003103E3"/>
    <w:rsid w:val="00316066"/>
    <w:rsid w:val="004E0D38"/>
    <w:rsid w:val="00504466"/>
    <w:rsid w:val="005B636F"/>
    <w:rsid w:val="005C087A"/>
    <w:rsid w:val="00615653"/>
    <w:rsid w:val="00640D43"/>
    <w:rsid w:val="0064246A"/>
    <w:rsid w:val="006A60F5"/>
    <w:rsid w:val="006B1935"/>
    <w:rsid w:val="00706E48"/>
    <w:rsid w:val="00730330"/>
    <w:rsid w:val="007448BE"/>
    <w:rsid w:val="00847D58"/>
    <w:rsid w:val="008511F9"/>
    <w:rsid w:val="0089004C"/>
    <w:rsid w:val="008A48FD"/>
    <w:rsid w:val="008C0D24"/>
    <w:rsid w:val="008F640C"/>
    <w:rsid w:val="00B071F8"/>
    <w:rsid w:val="00B32ACF"/>
    <w:rsid w:val="00B42CE3"/>
    <w:rsid w:val="00B54B3A"/>
    <w:rsid w:val="00B64323"/>
    <w:rsid w:val="00BC7BEF"/>
    <w:rsid w:val="00C2609C"/>
    <w:rsid w:val="00C2617B"/>
    <w:rsid w:val="00C278B5"/>
    <w:rsid w:val="00C376AC"/>
    <w:rsid w:val="00C909FA"/>
    <w:rsid w:val="00CD2D8E"/>
    <w:rsid w:val="00CF2B62"/>
    <w:rsid w:val="00D062E8"/>
    <w:rsid w:val="00D90302"/>
    <w:rsid w:val="00DE21B2"/>
    <w:rsid w:val="00DF6B0C"/>
    <w:rsid w:val="00E1559F"/>
    <w:rsid w:val="00E624BA"/>
    <w:rsid w:val="00E84FD1"/>
    <w:rsid w:val="00E911F5"/>
    <w:rsid w:val="00EC726A"/>
    <w:rsid w:val="00EF286A"/>
    <w:rsid w:val="00F327CB"/>
    <w:rsid w:val="00F94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FB59B-D0AB-42BB-862B-1C2B385AC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3</Pages>
  <Words>732</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stanley</cp:lastModifiedBy>
  <cp:revision>28</cp:revision>
  <dcterms:created xsi:type="dcterms:W3CDTF">2011-09-27T16:22:00Z</dcterms:created>
  <dcterms:modified xsi:type="dcterms:W3CDTF">2015-10-13T22:36:00Z</dcterms:modified>
</cp:coreProperties>
</file>