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val="false"/>
          <w:b w:val="false"/>
          <w:bCs w:val="false"/>
          <w:sz w:val="32"/>
          <w:szCs w:val="32"/>
          <w:u w:val="none"/>
        </w:rPr>
      </w:pPr>
      <w:r>
        <w:rPr>
          <w:b w:val="false"/>
          <w:bCs w:val="false"/>
          <w:sz w:val="32"/>
          <w:szCs w:val="32"/>
          <w:u w:val="none"/>
        </w:rPr>
        <w:t>ITS data meeting Feb 11, 2016</w:t>
      </w:r>
    </w:p>
    <w:p>
      <w:pPr>
        <w:pStyle w:val="Normal"/>
        <w:rPr/>
      </w:pPr>
      <w:r>
        <w:rPr/>
      </w:r>
    </w:p>
    <w:p>
      <w:pPr>
        <w:pStyle w:val="Normal"/>
        <w:rPr/>
      </w:pPr>
      <w:r>
        <w:rPr/>
      </w:r>
    </w:p>
    <w:p>
      <w:pPr>
        <w:pStyle w:val="Normal"/>
        <w:rPr>
          <w:u w:val="single"/>
        </w:rPr>
      </w:pPr>
      <w:r>
        <w:rPr>
          <w:u w:val="single"/>
        </w:rPr>
        <w:t>1- Changes during El Niño / La Niña: food supply</w:t>
      </w:r>
    </w:p>
    <w:p>
      <w:pPr>
        <w:pStyle w:val="Normal"/>
        <w:rPr/>
      </w:pPr>
      <w:r>
        <w:rPr/>
      </w:r>
    </w:p>
    <w:p>
      <w:pPr>
        <w:pStyle w:val="Normal"/>
        <w:rPr/>
      </w:pPr>
      <w:r>
        <w:rPr>
          <w:i/>
          <w:iCs/>
        </w:rPr>
        <w:t>Issue:</w:t>
      </w:r>
      <w:r>
        <w:rPr/>
        <w:t xml:space="preserve"> no ecosystem data during 1997-98 for the benthos. However, we know that benthic communities respond mostly to changes in food supply (a strong input sustains communities for years).</w:t>
      </w:r>
    </w:p>
    <w:p>
      <w:pPr>
        <w:pStyle w:val="Normal"/>
        <w:rPr/>
      </w:pPr>
      <w:r>
        <w:rPr/>
      </w:r>
    </w:p>
    <w:p>
      <w:pPr>
        <w:pStyle w:val="Normal"/>
        <w:rPr/>
      </w:pPr>
      <w:r>
        <w:rPr>
          <w:i/>
          <w:iCs/>
        </w:rPr>
        <w:t xml:space="preserve">Question: </w:t>
      </w:r>
      <w:r>
        <w:rPr/>
        <w:t>Is there a difference in food supply between El Niño / La Niña / “normal” conditions? (if the answer is no, the benthic community is not likely to respond strongly to El Niño / La Niña).</w:t>
      </w:r>
    </w:p>
    <w:p>
      <w:pPr>
        <w:pStyle w:val="Normal"/>
        <w:rPr/>
      </w:pPr>
      <w:r>
        <w:rPr/>
      </w:r>
    </w:p>
    <w:p>
      <w:pPr>
        <w:pStyle w:val="Normal"/>
        <w:rPr>
          <w:i/>
          <w:i/>
          <w:iCs/>
        </w:rPr>
      </w:pPr>
      <w:r>
        <w:rPr>
          <w:i/>
          <w:iCs/>
        </w:rPr>
        <w:t>To do:</w:t>
      </w:r>
    </w:p>
    <w:p>
      <w:pPr>
        <w:pStyle w:val="Normal"/>
        <w:rPr/>
      </w:pPr>
      <w:r>
        <w:rPr/>
        <w:t>Crissy to look at salps blooms in the past and whether there is a link with La Niña.</w:t>
      </w:r>
    </w:p>
    <w:p>
      <w:pPr>
        <w:pStyle w:val="Normal"/>
        <w:rPr/>
      </w:pPr>
      <w:r>
        <w:rPr/>
        <w:t>Monique to focus on food supply from the surface, ie. plankton size spectrum, primary production peaks, primary production cumulative sums over a given time scale.</w:t>
      </w:r>
    </w:p>
    <w:p>
      <w:pPr>
        <w:pStyle w:val="Normal"/>
        <w:rPr/>
      </w:pPr>
      <w:r>
        <w:rPr/>
        <w:t>Rob to look at particle feeders in the midwater that are most likely to respond to a change in food supply: pelagic tunicates (salps, doliolids) or larvaceans.</w:t>
      </w:r>
    </w:p>
    <w:p>
      <w:pPr>
        <w:pStyle w:val="Normal"/>
        <w:rPr/>
      </w:pPr>
      <w:r>
        <w:rPr/>
      </w:r>
    </w:p>
    <w:p>
      <w:pPr>
        <w:pStyle w:val="Normal"/>
        <w:rPr/>
      </w:pPr>
      <w:r>
        <w:rPr/>
      </w:r>
    </w:p>
    <w:p>
      <w:pPr>
        <w:pStyle w:val="Normal"/>
        <w:rPr>
          <w:u w:val="single"/>
        </w:rPr>
      </w:pPr>
      <w:r>
        <w:rPr>
          <w:u w:val="single"/>
        </w:rPr>
        <w:t>2- Changes during El Niño / La Niña: timing</w:t>
      </w:r>
    </w:p>
    <w:p>
      <w:pPr>
        <w:pStyle w:val="Normal"/>
        <w:rPr/>
      </w:pPr>
      <w:r>
        <w:rPr/>
      </w:r>
    </w:p>
    <w:p>
      <w:pPr>
        <w:pStyle w:val="Normal"/>
        <w:rPr/>
      </w:pPr>
      <w:r>
        <w:rPr>
          <w:i/>
          <w:iCs/>
        </w:rPr>
        <w:t>Questions:</w:t>
      </w:r>
      <w:r>
        <w:rPr/>
        <w:t xml:space="preserve"> How do the changes “propagate” across the system? Can we identify response lags? What are the time periods when El Niño and La Niña effects are visible in the California Current? (might last much longer than the even itself).</w:t>
      </w:r>
    </w:p>
    <w:p>
      <w:pPr>
        <w:pStyle w:val="Normal"/>
        <w:rPr/>
      </w:pPr>
      <w:r>
        <w:rPr/>
      </w:r>
    </w:p>
    <w:p>
      <w:pPr>
        <w:pStyle w:val="Normal"/>
        <w:rPr>
          <w:i/>
          <w:i/>
          <w:iCs/>
        </w:rPr>
      </w:pPr>
      <w:r>
        <w:rPr>
          <w:i/>
          <w:iCs/>
        </w:rPr>
        <w:t xml:space="preserve">To do: </w:t>
      </w:r>
    </w:p>
    <w:p>
      <w:pPr>
        <w:pStyle w:val="Normal"/>
        <w:rPr/>
      </w:pPr>
      <w:r>
        <w:rPr/>
        <w:t>Monique to look at lagged correlations with El Niño index (all species from 3 time series), lag more interesting than correlation itself. Restrict time series around El Niño cycle?</w:t>
      </w:r>
    </w:p>
    <w:p>
      <w:pPr>
        <w:pStyle w:val="Normal"/>
        <w:rPr/>
      </w:pPr>
      <w:r>
        <w:rPr/>
        <w:t>Monique to look at advection from currents products [assignment from past meeting]</w:t>
      </w:r>
    </w:p>
    <w:p>
      <w:pPr>
        <w:pStyle w:val="Normal"/>
        <w:rPr/>
      </w:pPr>
      <w:r>
        <w:rPr/>
      </w:r>
    </w:p>
    <w:p>
      <w:pPr>
        <w:pStyle w:val="Normal"/>
        <w:rPr/>
      </w:pPr>
      <w:r>
        <w:rPr/>
      </w:r>
    </w:p>
    <w:p>
      <w:pPr>
        <w:pStyle w:val="Normal"/>
        <w:rPr>
          <w:u w:val="single"/>
        </w:rPr>
      </w:pPr>
      <w:r>
        <w:rPr>
          <w:u w:val="single"/>
        </w:rPr>
        <w:t>3- Community structure and change (in link or not with El Niño / La Niña)</w:t>
      </w:r>
    </w:p>
    <w:p>
      <w:pPr>
        <w:pStyle w:val="Normal"/>
        <w:rPr/>
      </w:pPr>
      <w:r>
        <w:rPr/>
      </w:r>
    </w:p>
    <w:p>
      <w:pPr>
        <w:pStyle w:val="Normal"/>
        <w:rPr/>
      </w:pPr>
      <w:r>
        <w:rPr>
          <w:i/>
          <w:iCs/>
        </w:rPr>
        <w:t xml:space="preserve">Questions: </w:t>
      </w:r>
      <w:r>
        <w:rPr/>
        <w:t>can we define different “types of ecosystems” and are there consistent changes between the 3 time series? Are there “indicator species” that are only present following an El Niño and/or La Niña event?</w:t>
      </w:r>
    </w:p>
    <w:p>
      <w:pPr>
        <w:pStyle w:val="Normal"/>
        <w:rPr/>
      </w:pPr>
      <w:r>
        <w:rPr/>
      </w:r>
    </w:p>
    <w:p>
      <w:pPr>
        <w:pStyle w:val="Normal"/>
        <w:rPr>
          <w:i/>
          <w:i/>
          <w:iCs/>
        </w:rPr>
      </w:pPr>
      <w:r>
        <w:rPr>
          <w:i/>
          <w:iCs/>
        </w:rPr>
        <w:t xml:space="preserve">To do: </w:t>
      </w:r>
    </w:p>
    <w:p>
      <w:pPr>
        <w:pStyle w:val="Normal"/>
        <w:rPr/>
      </w:pPr>
      <w:r>
        <w:rPr/>
        <w:t>MDS, to be applied by Rob on the 3 time series. Monique to give Rob a spreadsheet with surface plankton counts. Question on normalization (yes? To avoid putting all the weight on abundant species, no? To avoid putting too much weight on very rare species). Try with different normalizations from “not at all” to “all equal” (eg. presence/absence, or normalize each species by its mean &amp; standard deviation).</w:t>
      </w:r>
    </w:p>
    <w:p>
      <w:pPr>
        <w:pStyle w:val="Normal"/>
        <w:rPr/>
      </w:pPr>
      <w:r>
        <w:rPr/>
      </w:r>
    </w:p>
    <w:p>
      <w:pPr>
        <w:pStyle w:val="Normal"/>
        <w:rPr/>
      </w:pPr>
      <w:r>
        <w:rPr/>
      </w:r>
    </w:p>
    <w:p>
      <w:pPr>
        <w:pStyle w:val="Normal"/>
        <w:rPr>
          <w:i w:val="false"/>
          <w:i w:val="false"/>
          <w:iCs w:val="false"/>
          <w:u w:val="single"/>
        </w:rPr>
      </w:pPr>
      <w:r>
        <w:rPr>
          <w:i w:val="false"/>
          <w:iCs w:val="false"/>
          <w:u w:val="single"/>
        </w:rPr>
        <w:t>Other random to do</w:t>
      </w:r>
    </w:p>
    <w:p>
      <w:pPr>
        <w:pStyle w:val="Normal"/>
        <w:rPr/>
      </w:pPr>
      <w:r>
        <w:rPr/>
      </w:r>
    </w:p>
    <w:p>
      <w:pPr>
        <w:pStyle w:val="Normal"/>
        <w:rPr/>
      </w:pPr>
      <w:r>
        <w:rPr/>
        <w:t>Rob to evaluate whether it is worth looking at machine learning on quantifying salps</w:t>
      </w:r>
    </w:p>
    <w:p>
      <w:pPr>
        <w:pStyle w:val="Normal"/>
        <w:rPr/>
      </w:pPr>
      <w:r>
        <w:rPr/>
        <w:t>Monique to check how we decided to treat the “999” annotations in VARS</w:t>
      </w:r>
    </w:p>
    <w:p>
      <w:pPr>
        <w:pStyle w:val="Normal"/>
        <w:rPr/>
      </w:pPr>
      <w:r>
        <w:rPr/>
        <w:t>Monique to provide size spectrum calculations to Kevin for integration in the database (eventually)</w:t>
      </w:r>
    </w:p>
    <w:p>
      <w:pPr>
        <w:pStyle w:val="Normal"/>
        <w:rPr/>
      </w:pPr>
      <w:r>
        <w:rPr/>
        <w:t>Crissy to check w/ Ken what “other ecosystem data” he was referring to for 1997-98</w:t>
      </w:r>
    </w:p>
    <w:p>
      <w:pPr>
        <w:pStyle w:val="Normal"/>
        <w:rPr/>
      </w:pPr>
      <w:r>
        <w:rPr/>
      </w:r>
    </w:p>
    <w:sectPr>
      <w:type w:val="nextPage"/>
      <w:pgSz w:w="12240" w:h="15840"/>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bering>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FreeSans"/>
        <w:sz w:val="24"/>
        <w:szCs w:val="24"/>
        <w:lang w:val="en-US" w:eastAsia="zh-CN" w:bidi="hi-IN"/>
      </w:rPr>
    </w:rPrDefault>
    <w:pPrDefault>
      <w:pPr/>
    </w:pPrDefault>
  </w:docDefaults>
  <w:style w:type="paragraph" w:styleId="Normal">
    <w:name w:val="Normal"/>
    <w:qFormat/>
    <w:pPr>
      <w:widowControl w:val="false"/>
    </w:pPr>
    <w:rPr>
      <w:rFonts w:ascii="Liberation Serif" w:hAnsi="Liberation Serif" w:eastAsia="Droid Sans Fallback" w:cs="FreeSans"/>
      <w:color w:val="auto"/>
      <w:sz w:val="24"/>
      <w:szCs w:val="24"/>
      <w:lang w:val="en-US" w:eastAsia="zh-CN" w:bidi="hi-IN"/>
    </w:rPr>
  </w:style>
  <w:style w:type="paragraph" w:styleId="Heading1">
    <w:name w:val="Heading 1"/>
    <w:basedOn w:val="Heading"/>
    <w:next w:val="TextBody"/>
    <w:qFormat/>
    <w:pPr>
      <w:numPr>
        <w:ilvl w:val="0"/>
        <w:numId w:val="1"/>
      </w:numPr>
      <w:spacing w:before="240" w:after="120"/>
      <w:outlineLvl w:val="0"/>
      <w:outlineLvl w:val="0"/>
    </w:pPr>
    <w:rPr>
      <w:b/>
      <w:bCs/>
      <w:sz w:val="36"/>
      <w:szCs w:val="36"/>
    </w:rPr>
  </w:style>
  <w:style w:type="paragraph" w:styleId="Heading2">
    <w:name w:val="Heading 2"/>
    <w:basedOn w:val="Heading"/>
    <w:next w:val="TextBody"/>
    <w:qFormat/>
    <w:pPr>
      <w:numPr>
        <w:ilvl w:val="1"/>
        <w:numId w:val="1"/>
      </w:numPr>
      <w:spacing w:before="200" w:after="120"/>
      <w:outlineLvl w:val="1"/>
      <w:outlineLvl w:val="1"/>
    </w:pPr>
    <w:rPr>
      <w:b/>
      <w:bCs/>
      <w:sz w:val="32"/>
      <w:szCs w:val="32"/>
    </w:rPr>
  </w:style>
  <w:style w:type="paragraph" w:styleId="Heading3">
    <w:name w:val="Heading 3"/>
    <w:basedOn w:val="Heading"/>
    <w:next w:val="TextBody"/>
    <w:qFormat/>
    <w:pPr>
      <w:numPr>
        <w:ilvl w:val="2"/>
        <w:numId w:val="1"/>
      </w:numPr>
      <w:spacing w:before="140" w:after="120"/>
      <w:outlineLvl w:val="2"/>
      <w:outlineLvl w:val="2"/>
    </w:pPr>
    <w:rPr>
      <w:b/>
      <w:bCs/>
      <w:sz w:val="28"/>
      <w:szCs w:val="28"/>
    </w:rPr>
  </w:style>
  <w:style w:type="paragraph" w:styleId="Heading">
    <w:name w:val="Heading"/>
    <w:basedOn w:val="Normal"/>
    <w:next w:val="TextBody"/>
    <w:qFormat/>
    <w:pPr>
      <w:keepNext/>
      <w:spacing w:before="240" w:after="120"/>
    </w:pPr>
    <w:rPr>
      <w:rFonts w:ascii="Liberation Sans" w:hAnsi="Liberation Sans" w:eastAsia="Droid Sans Fallback" w:cs="FreeSans"/>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Quotations">
    <w:name w:val="Quotations"/>
    <w:basedOn w:val="Normal"/>
    <w:qFormat/>
    <w:pPr>
      <w:spacing w:before="0" w:after="283"/>
      <w:ind w:left="567" w:right="567" w:hanging="0"/>
    </w:pPr>
    <w:rPr/>
  </w:style>
  <w:style w:type="paragraph" w:styleId="Title">
    <w:name w:val="Title"/>
    <w:basedOn w:val="Heading"/>
    <w:next w:val="TextBody"/>
    <w:qFormat/>
    <w:pPr>
      <w:jc w:val="center"/>
    </w:pPr>
    <w:rPr>
      <w:b/>
      <w:bCs/>
      <w:sz w:val="56"/>
      <w:szCs w:val="56"/>
    </w:rPr>
  </w:style>
  <w:style w:type="paragraph" w:styleId="Subtitle">
    <w:name w:val="Subtitle"/>
    <w:basedOn w:val="Heading"/>
    <w:next w:val="TextBody"/>
    <w:qFormat/>
    <w:pPr>
      <w:spacing w:before="60" w:after="120"/>
      <w:jc w:val="center"/>
    </w:pPr>
    <w:rPr>
      <w:sz w:val="36"/>
      <w:szCs w:val="3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34</TotalTime>
  <Application>LibreOffice/5.0.2.2$Linux_X86_64 LibreOffice_project/00m0$Build-2</Application>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2016-02-11T15:10:59Z</dcterms:created>
  <dc:language>en-US</dc:language>
  <dcterms:modified xsi:type="dcterms:W3CDTF">2016-02-11T15:45:38Z</dcterms:modified>
  <cp:revision>6</cp:revision>
</cp:coreProperties>
</file>