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2398" w:rsidRDefault="00B00B00">
      <w:pPr>
        <w:jc w:val="center"/>
      </w:pPr>
      <w:r>
        <w:rPr>
          <w:b/>
        </w:rPr>
        <w:t xml:space="preserve">ABSTRACT FORM </w:t>
      </w:r>
      <w:r>
        <w:t>(for new projects only)</w:t>
      </w:r>
    </w:p>
    <w:p w:rsidR="009E2398" w:rsidRDefault="009E2398">
      <w:pPr>
        <w:jc w:val="center"/>
      </w:pPr>
    </w:p>
    <w:p w:rsidR="009E2398" w:rsidRDefault="00B00B00">
      <w:r>
        <w:rPr>
          <w:i/>
        </w:rPr>
        <w:t>(Please note: The complete abstract should be limited to three pages.)</w:t>
      </w:r>
    </w:p>
    <w:p w:rsidR="009E2398" w:rsidRDefault="009E2398"/>
    <w:p w:rsidR="009E2398" w:rsidRDefault="00B00B00">
      <w:r>
        <w:rPr>
          <w:b/>
        </w:rPr>
        <w:t xml:space="preserve">Project Title: </w:t>
      </w:r>
      <w:r w:rsidR="00452E40">
        <w:t xml:space="preserve">  Multi-Spectral </w:t>
      </w:r>
      <w:proofErr w:type="spellStart"/>
      <w:r w:rsidR="00452E40">
        <w:t>Smart</w:t>
      </w:r>
      <w:r>
        <w:t>Cam</w:t>
      </w:r>
      <w:proofErr w:type="spellEnd"/>
      <w:r>
        <w:t xml:space="preserve">  </w:t>
      </w:r>
    </w:p>
    <w:p w:rsidR="009E2398" w:rsidRPr="00452E40" w:rsidRDefault="00B00B00">
      <w:pPr>
        <w:rPr>
          <w:color w:val="FF0000"/>
        </w:rPr>
      </w:pPr>
      <w:r>
        <w:rPr>
          <w:b/>
        </w:rPr>
        <w:t xml:space="preserve">Expected Project Duration (in years): </w:t>
      </w:r>
      <w:r>
        <w:t xml:space="preserve">  </w:t>
      </w:r>
      <w:r w:rsidR="00452E40">
        <w:t>2</w:t>
      </w:r>
    </w:p>
    <w:p w:rsidR="009E2398" w:rsidRDefault="009E2398"/>
    <w:p w:rsidR="009E2398" w:rsidRDefault="009E2398"/>
    <w:tbl>
      <w:tblPr>
        <w:tblStyle w:val="a"/>
        <w:tblW w:w="9488" w:type="dxa"/>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Layout w:type="fixed"/>
        <w:tblLook w:val="0000" w:firstRow="0" w:lastRow="0" w:firstColumn="0" w:lastColumn="0" w:noHBand="0" w:noVBand="0"/>
      </w:tblPr>
      <w:tblGrid>
        <w:gridCol w:w="2372"/>
        <w:gridCol w:w="2372"/>
        <w:gridCol w:w="2372"/>
        <w:gridCol w:w="2372"/>
      </w:tblGrid>
      <w:tr w:rsidR="009E2398">
        <w:trPr>
          <w:trHeight w:val="260"/>
        </w:trPr>
        <w:tc>
          <w:tcPr>
            <w:tcW w:w="2372" w:type="dxa"/>
          </w:tcPr>
          <w:p w:rsidR="009E2398" w:rsidRDefault="00B00B00">
            <w:pPr>
              <w:jc w:val="center"/>
            </w:pPr>
            <w:r>
              <w:rPr>
                <w:b/>
              </w:rPr>
              <w:t>PI</w:t>
            </w:r>
          </w:p>
        </w:tc>
        <w:tc>
          <w:tcPr>
            <w:tcW w:w="2372" w:type="dxa"/>
          </w:tcPr>
          <w:p w:rsidR="009E2398" w:rsidRDefault="00B00B00">
            <w:pPr>
              <w:jc w:val="center"/>
            </w:pPr>
            <w:r>
              <w:rPr>
                <w:b/>
              </w:rPr>
              <w:t>Project Manager</w:t>
            </w:r>
          </w:p>
        </w:tc>
        <w:tc>
          <w:tcPr>
            <w:tcW w:w="2372" w:type="dxa"/>
          </w:tcPr>
          <w:p w:rsidR="009E2398" w:rsidRDefault="00B00B00">
            <w:pPr>
              <w:jc w:val="center"/>
            </w:pPr>
            <w:r>
              <w:rPr>
                <w:b/>
              </w:rPr>
              <w:t>Lead Scientist</w:t>
            </w:r>
          </w:p>
        </w:tc>
        <w:tc>
          <w:tcPr>
            <w:tcW w:w="2372" w:type="dxa"/>
          </w:tcPr>
          <w:p w:rsidR="009E2398" w:rsidRDefault="00B00B00">
            <w:pPr>
              <w:jc w:val="center"/>
            </w:pPr>
            <w:r>
              <w:rPr>
                <w:b/>
              </w:rPr>
              <w:t>Lead Engineer</w:t>
            </w:r>
          </w:p>
        </w:tc>
      </w:tr>
      <w:tr w:rsidR="009E2398">
        <w:trPr>
          <w:trHeight w:val="520"/>
        </w:trPr>
        <w:tc>
          <w:tcPr>
            <w:tcW w:w="2372" w:type="dxa"/>
            <w:vAlign w:val="center"/>
          </w:tcPr>
          <w:p w:rsidR="009E2398" w:rsidRDefault="00B00B00">
            <w:pPr>
              <w:jc w:val="center"/>
            </w:pPr>
            <w:proofErr w:type="spellStart"/>
            <w:r>
              <w:t>Kakani</w:t>
            </w:r>
            <w:proofErr w:type="spellEnd"/>
            <w:r>
              <w:t xml:space="preserve"> </w:t>
            </w:r>
            <w:proofErr w:type="spellStart"/>
            <w:r>
              <w:t>Katija</w:t>
            </w:r>
            <w:proofErr w:type="spellEnd"/>
          </w:p>
        </w:tc>
        <w:tc>
          <w:tcPr>
            <w:tcW w:w="2372" w:type="dxa"/>
            <w:vAlign w:val="center"/>
          </w:tcPr>
          <w:p w:rsidR="009E2398" w:rsidRDefault="00B00B00">
            <w:pPr>
              <w:jc w:val="center"/>
            </w:pPr>
            <w:r>
              <w:t>Chad Kecy</w:t>
            </w:r>
          </w:p>
        </w:tc>
        <w:tc>
          <w:tcPr>
            <w:tcW w:w="2372" w:type="dxa"/>
            <w:vAlign w:val="center"/>
          </w:tcPr>
          <w:p w:rsidR="009E2398" w:rsidRDefault="00B00B00">
            <w:pPr>
              <w:jc w:val="center"/>
            </w:pPr>
            <w:r>
              <w:t xml:space="preserve"> Kelly Benoit-Bird  </w:t>
            </w:r>
          </w:p>
        </w:tc>
        <w:tc>
          <w:tcPr>
            <w:tcW w:w="2372" w:type="dxa"/>
            <w:vAlign w:val="center"/>
          </w:tcPr>
          <w:p w:rsidR="009E2398" w:rsidRDefault="00B00B00">
            <w:pPr>
              <w:jc w:val="center"/>
            </w:pPr>
            <w:r>
              <w:t>Chad Kecy</w:t>
            </w:r>
          </w:p>
        </w:tc>
      </w:tr>
    </w:tbl>
    <w:p w:rsidR="009E2398" w:rsidRDefault="00B00B00">
      <w:pPr>
        <w:rPr>
          <w:sz w:val="22"/>
          <w:szCs w:val="22"/>
        </w:rPr>
      </w:pPr>
      <w:r>
        <w:rPr>
          <w:i/>
          <w:sz w:val="22"/>
          <w:szCs w:val="22"/>
        </w:rPr>
        <w:t>(Indicate individuals appropriate for your project. Not all projects need all four positions filled in.)</w:t>
      </w:r>
    </w:p>
    <w:p w:rsidR="009E2398" w:rsidRDefault="009E2398"/>
    <w:p w:rsidR="009E2398" w:rsidRDefault="00B00B00">
      <w:r>
        <w:rPr>
          <w:b/>
        </w:rPr>
        <w:t xml:space="preserve">Project Description:  </w:t>
      </w:r>
      <w:r>
        <w:t xml:space="preserve">  </w:t>
      </w:r>
    </w:p>
    <w:p w:rsidR="009E2398" w:rsidRDefault="009E2398"/>
    <w:p w:rsidR="009E2398" w:rsidRDefault="00B00B00">
      <w:r>
        <w:t xml:space="preserve">Our goal is to understand the effects of different wavelengths and intensities of light on animal responses to platforms in order to 1) facilitate the design of less invasive imaging systems applicable to the animals in Monterey Bay and 2) understand the effects of our video observations on the measurements of animal presence and abundance. To achieve these objectives requires that we experimentally examine the responses of animals to artificial lighting of various colors and intensities under a range of conditions. Preliminary experiments have suggested that avoidance of light by anchovies is reduced with red light relative to white, increased with blue light, and reversed to attraction with green. Whether these behavioral responses are consistent across a range of organisms, and how environmental conditions serve to mediate this behavior, is largely unknown. To address this need, we propose to develop a </w:t>
      </w:r>
      <w:proofErr w:type="spellStart"/>
      <w:r>
        <w:rPr>
          <w:i/>
        </w:rPr>
        <w:t>DropCam</w:t>
      </w:r>
      <w:proofErr w:type="spellEnd"/>
      <w:r>
        <w:t xml:space="preserve"> video system with lights that can be remotely modulated to change their color and intensity. We envision that this camera would be deployable from small boats (e.g., R/V </w:t>
      </w:r>
      <w:r>
        <w:rPr>
          <w:i/>
        </w:rPr>
        <w:t>Paragon</w:t>
      </w:r>
      <w:r>
        <w:t xml:space="preserve">), and when coupled with boat-mounted echosounder measurements, will facilitate experimentation of a wide range of animals and behavior at modest cost. Results from these experiments could quickly be applied to data and deployment strategies of other video platforms and light/camera designs adapted for use on other optical systems. </w:t>
      </w:r>
      <w:r w:rsidRPr="008A25BC">
        <w:rPr>
          <w:strike/>
        </w:rPr>
        <w:t xml:space="preserve">Because the work proposed in this abstract is primarily based on the design of a prototype of the Benthic Observation System (BOS), we envision the </w:t>
      </w:r>
      <w:proofErr w:type="spellStart"/>
      <w:r w:rsidRPr="008A25BC">
        <w:rPr>
          <w:strike/>
        </w:rPr>
        <w:t>DropCam</w:t>
      </w:r>
      <w:proofErr w:type="spellEnd"/>
      <w:r w:rsidRPr="008A25BC">
        <w:rPr>
          <w:strike/>
        </w:rPr>
        <w:t xml:space="preserve"> to be incorporated into the third (and final) year of the Benthic Observation Project (901704).</w:t>
      </w:r>
    </w:p>
    <w:p w:rsidR="009E2398" w:rsidRDefault="009E2398"/>
    <w:p w:rsidR="009E2398" w:rsidRDefault="00B00B00">
      <w:r>
        <w:rPr>
          <w:i/>
        </w:rPr>
        <w:t>In addition to the project description above, please provide one (1) paragraph addressing each of the following topics:</w:t>
      </w:r>
    </w:p>
    <w:p w:rsidR="009E2398" w:rsidRDefault="009E2398"/>
    <w:p w:rsidR="009E2398" w:rsidRDefault="00B00B00">
      <w:r>
        <w:rPr>
          <w:b/>
          <w:u w:val="single"/>
        </w:rPr>
        <w:t>Fundamental Problem</w:t>
      </w:r>
      <w:r>
        <w:rPr>
          <w:b/>
        </w:rPr>
        <w:t xml:space="preserve"> </w:t>
      </w:r>
      <w:r>
        <w:t>(What’s the grand challenge this work addresses? Why should we care? What makes this work relevant to MBARI?)</w:t>
      </w:r>
    </w:p>
    <w:p w:rsidR="009E2398" w:rsidRDefault="009E2398"/>
    <w:p w:rsidR="009E2398" w:rsidRDefault="00B00B00">
      <w:r>
        <w:t xml:space="preserve">We humans tend to think of the ocean as a blue, shadowy world. The animals and plants that live there, however, are bathed in light coming from all directions, in a way we land-dwellers have never experienced. Animals use light, either that found in the environment or that they create themselves, to hunt, confuse and startle, hide, communicate, find conspecifics, and more. Light, no matter the color and intensity, frames life in the sea. Animals in the ocean possess specially adapted visual systems and accompanying behaviors that are tuned to respond to changes in the </w:t>
      </w:r>
      <w:r>
        <w:lastRenderedPageBreak/>
        <w:t xml:space="preserve">light field. Unfortunately, to observe these animals using visual techniques, we must often rely on artificial illumination, dramatically disrupting important environmental cues. Not surprisingly, this affects our view of life in the ocean as many animals avoid the light (and thus our imaging systems), while still others are attracted to the light. Our ability to understand the ecosystem using cameras is affected by both our disruption of the habitat and our ability to understand the responses of the animals to our measurement attempts. By developing </w:t>
      </w:r>
      <w:proofErr w:type="spellStart"/>
      <w:r>
        <w:t>DropCam</w:t>
      </w:r>
      <w:proofErr w:type="spellEnd"/>
      <w:r>
        <w:t>, and coupling these optical observations with bioacoustics measurements, we can not only understand how organismal behaviors are mediated by differing lighting conditions, we can also inform the design of future, truly non-invasive, underwater imaging systems.</w:t>
      </w:r>
    </w:p>
    <w:p w:rsidR="008A25BC" w:rsidRDefault="008A25BC"/>
    <w:p w:rsidR="008A25BC" w:rsidRDefault="008A25BC">
      <w:r>
        <w:t>[</w:t>
      </w:r>
      <w:r w:rsidRPr="008A25BC">
        <w:rPr>
          <w:color w:val="FF0000"/>
        </w:rPr>
        <w:t>Add in work performed in early 2019 on the BOSS project with respect to startle response based on light intensity/modulation</w:t>
      </w:r>
      <w:r>
        <w:t>]</w:t>
      </w:r>
    </w:p>
    <w:p w:rsidR="009E2398" w:rsidRDefault="009E2398"/>
    <w:p w:rsidR="009E2398" w:rsidRDefault="00B00B00">
      <w:r>
        <w:rPr>
          <w:b/>
          <w:u w:val="single"/>
        </w:rPr>
        <w:t>Technology</w:t>
      </w:r>
      <w:r>
        <w:rPr>
          <w:b/>
        </w:rPr>
        <w:t xml:space="preserve"> </w:t>
      </w:r>
      <w:r>
        <w:t>[What engineering &amp; technology is needed to move forward (e.g., sensor, platform, ship, de novo R&amp;D)?]</w:t>
      </w:r>
    </w:p>
    <w:p w:rsidR="009E2398" w:rsidRDefault="009E2398">
      <w:pPr>
        <w:tabs>
          <w:tab w:val="left" w:pos="1935"/>
        </w:tabs>
      </w:pPr>
    </w:p>
    <w:p w:rsidR="009E2398" w:rsidRDefault="00B00B00">
      <w:pPr>
        <w:tabs>
          <w:tab w:val="left" w:pos="1935"/>
        </w:tabs>
      </w:pPr>
      <w:r>
        <w:t xml:space="preserve">The </w:t>
      </w:r>
      <w:proofErr w:type="spellStart"/>
      <w:r>
        <w:t>DropCam</w:t>
      </w:r>
      <w:proofErr w:type="spellEnd"/>
      <w:r>
        <w:t xml:space="preserve"> will leverage technology previously developed for BOS</w:t>
      </w:r>
      <w:r w:rsidR="008A25BC">
        <w:t xml:space="preserve">S, </w:t>
      </w:r>
      <w:proofErr w:type="spellStart"/>
      <w:r w:rsidR="008A25BC">
        <w:rPr>
          <w:color w:val="FF0000"/>
        </w:rPr>
        <w:t>MesoBot</w:t>
      </w:r>
      <w:proofErr w:type="spellEnd"/>
      <w:r w:rsidR="008A25BC">
        <w:rPr>
          <w:color w:val="FF0000"/>
        </w:rPr>
        <w:t xml:space="preserve">, and the </w:t>
      </w:r>
      <w:proofErr w:type="spellStart"/>
      <w:r w:rsidR="008A25BC">
        <w:rPr>
          <w:color w:val="FF0000"/>
        </w:rPr>
        <w:t>MiniROV</w:t>
      </w:r>
      <w:proofErr w:type="spellEnd"/>
      <w:r>
        <w:t xml:space="preserve">. The core electronics and video system will be simplified and re-packaged into a more compact housing. A </w:t>
      </w:r>
      <w:r w:rsidRPr="004A005D">
        <w:rPr>
          <w:strike/>
        </w:rPr>
        <w:t>coaxial</w:t>
      </w:r>
      <w:r>
        <w:t xml:space="preserve"> tether will provide power and communication to the </w:t>
      </w:r>
      <w:proofErr w:type="spellStart"/>
      <w:r>
        <w:t>DropCam</w:t>
      </w:r>
      <w:proofErr w:type="spellEnd"/>
      <w:r>
        <w:t xml:space="preserve">. Live video will be available and recorded on the boat. The multi-spectral LED module will be developed based on an existing low-noise (both acoustic and electronic-magnetic) design made by Thom Maughan. The LED module will be controlled from the ship, with the ability to change its output wavelength and intensity. </w:t>
      </w:r>
    </w:p>
    <w:p w:rsidR="009E2398" w:rsidRDefault="009E2398">
      <w:pPr>
        <w:tabs>
          <w:tab w:val="left" w:pos="1935"/>
        </w:tabs>
      </w:pPr>
    </w:p>
    <w:p w:rsidR="009E2398" w:rsidRDefault="00B00B00">
      <w:pPr>
        <w:tabs>
          <w:tab w:val="left" w:pos="1935"/>
        </w:tabs>
      </w:pPr>
      <w:r>
        <w:t xml:space="preserve">With a depth rating of 300 meters and a relatively small size, the </w:t>
      </w:r>
      <w:proofErr w:type="spellStart"/>
      <w:r>
        <w:t>DropCam</w:t>
      </w:r>
      <w:proofErr w:type="spellEnd"/>
      <w:r>
        <w:t xml:space="preserve"> should be able to be launched and recovered using </w:t>
      </w:r>
      <w:r w:rsidRPr="008A25BC">
        <w:rPr>
          <w:strike/>
        </w:rPr>
        <w:t>a simple line-hauler, like those used for crab pots</w:t>
      </w:r>
      <w:r>
        <w:t xml:space="preserve">. The R/V </w:t>
      </w:r>
      <w:r>
        <w:rPr>
          <w:i/>
        </w:rPr>
        <w:t>Paragon</w:t>
      </w:r>
      <w:r>
        <w:t xml:space="preserve"> will be used for testing and eventual deployments.</w:t>
      </w:r>
    </w:p>
    <w:p w:rsidR="009E2398" w:rsidRDefault="009E2398">
      <w:pPr>
        <w:tabs>
          <w:tab w:val="left" w:pos="1935"/>
        </w:tabs>
      </w:pPr>
    </w:p>
    <w:p w:rsidR="009E2398" w:rsidRDefault="00B00B00">
      <w:r>
        <w:rPr>
          <w:b/>
          <w:u w:val="single"/>
        </w:rPr>
        <w:t>Data</w:t>
      </w:r>
      <w:r>
        <w:rPr>
          <w:b/>
        </w:rPr>
        <w:t xml:space="preserve"> </w:t>
      </w:r>
      <w:r>
        <w:t>(What data will be generated? How will they be managed? Visualization and IP considerations?)</w:t>
      </w:r>
    </w:p>
    <w:p w:rsidR="009E2398" w:rsidRDefault="009E2398"/>
    <w:p w:rsidR="009E2398" w:rsidRDefault="00B00B00">
      <w:pPr>
        <w:tabs>
          <w:tab w:val="left" w:pos="1935"/>
        </w:tabs>
      </w:pPr>
      <w:r>
        <w:t xml:space="preserve">The primary product of the </w:t>
      </w:r>
      <w:proofErr w:type="spellStart"/>
      <w:r>
        <w:t>DropCam</w:t>
      </w:r>
      <w:proofErr w:type="spellEnd"/>
      <w:r>
        <w:t xml:space="preserve"> will be high-definition video. Video will be compatible with existing MBARI/VARS formats. Given that deployments within the scope of this proposal will initially be conducted to test the </w:t>
      </w:r>
      <w:proofErr w:type="spellStart"/>
      <w:r>
        <w:t>DropCam</w:t>
      </w:r>
      <w:proofErr w:type="spellEnd"/>
      <w:r>
        <w:t xml:space="preserve"> rather than conduct science, we anticipate the amount of video collected will be modest. </w:t>
      </w:r>
    </w:p>
    <w:p w:rsidR="009E2398" w:rsidRDefault="009E2398">
      <w:pPr>
        <w:tabs>
          <w:tab w:val="left" w:pos="1935"/>
        </w:tabs>
      </w:pPr>
    </w:p>
    <w:p w:rsidR="009E2398" w:rsidRDefault="00B00B00">
      <w:r>
        <w:rPr>
          <w:b/>
          <w:u w:val="single"/>
        </w:rPr>
        <w:t xml:space="preserve">Impact </w:t>
      </w:r>
      <w:r>
        <w:t>(What is the expected impact? Who are the consumers of the instruments, methods, technology, and data that will be generated within and beyond MBARI?  Will the project create tangible connections with other organizations (e.g., academic, NGO, MBA, MBNMS, state or federal agency)?</w:t>
      </w:r>
    </w:p>
    <w:p w:rsidR="009E2398" w:rsidRDefault="009E2398"/>
    <w:p w:rsidR="009E2398" w:rsidRDefault="00B00B00">
      <w:r>
        <w:t xml:space="preserve">MBARI has a long and storied history of using video to describe the distribution and behavior of animals in the ocean from ROVs and, increasingly, from autonomous platforms. Building on this experience, nearly every idea pitched at the recent ideation workshop relied on visual imaging, with the underlying assumption that if animals were present, they would be imaged. While it has long been inferred that avoidance and attraction are occurring, we are just beginning to quantify </w:t>
      </w:r>
      <w:r>
        <w:lastRenderedPageBreak/>
        <w:t>these behavioral responses to light in the ocean. This work expands on those efforts while providing new opportunities to experimentally manipulate the lighting used for imaging and coupling these observations with bioacoustics. This work will establish the understanding necessary to develop more effective, less invasive imaging systems to facilitate new science on a range of platforms. As a result, this work will be relevant to video/image sampling by a range of camera systems on all observation platforms, thereby informing sampling design and data interpretation for imaging studies of mobile animals. The Acoustical Ocean Ecology and Bioinspiration labs will lead the field efforts and will publish the results to make our findings broadly available to the oceanographic community to facilitate the design of imaging systems and field sampling approaches.</w:t>
      </w:r>
    </w:p>
    <w:p w:rsidR="009E2398" w:rsidRDefault="009E2398">
      <w:pPr>
        <w:tabs>
          <w:tab w:val="left" w:pos="1935"/>
        </w:tabs>
      </w:pPr>
    </w:p>
    <w:p w:rsidR="009E2398" w:rsidRDefault="009E2398">
      <w:pPr>
        <w:tabs>
          <w:tab w:val="left" w:pos="1935"/>
        </w:tabs>
      </w:pPr>
    </w:p>
    <w:p w:rsidR="009E2398" w:rsidRDefault="00B00B00">
      <w:pPr>
        <w:tabs>
          <w:tab w:val="left" w:pos="1935"/>
        </w:tabs>
      </w:pPr>
      <w:r>
        <w:rPr>
          <w:i/>
        </w:rPr>
        <w:t xml:space="preserve">Please provide an overall, high-level estimate of resources envisioned for this project in 2019 to help give a sense of the size of the proposed effort. Detailed scoping is not needed at this stage. Simply mark the appropriate box below. </w:t>
      </w:r>
    </w:p>
    <w:p w:rsidR="009E2398" w:rsidRDefault="009E2398">
      <w:pPr>
        <w:tabs>
          <w:tab w:val="left" w:pos="1935"/>
        </w:tabs>
      </w:pPr>
    </w:p>
    <w:tbl>
      <w:tblPr>
        <w:tblStyle w:val="a0"/>
        <w:tblW w:w="9488" w:type="dxa"/>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Layout w:type="fixed"/>
        <w:tblLook w:val="0000" w:firstRow="0" w:lastRow="0" w:firstColumn="0" w:lastColumn="0" w:noHBand="0" w:noVBand="0"/>
      </w:tblPr>
      <w:tblGrid>
        <w:gridCol w:w="2372"/>
        <w:gridCol w:w="2372"/>
        <w:gridCol w:w="2372"/>
        <w:gridCol w:w="2372"/>
      </w:tblGrid>
      <w:tr w:rsidR="009E2398">
        <w:trPr>
          <w:trHeight w:val="260"/>
        </w:trPr>
        <w:tc>
          <w:tcPr>
            <w:tcW w:w="2372" w:type="dxa"/>
          </w:tcPr>
          <w:p w:rsidR="009E2398" w:rsidRDefault="00B00B00">
            <w:pPr>
              <w:jc w:val="center"/>
            </w:pPr>
            <w:r>
              <w:rPr>
                <w:b/>
              </w:rPr>
              <w:t>Budget Category</w:t>
            </w:r>
          </w:p>
        </w:tc>
        <w:tc>
          <w:tcPr>
            <w:tcW w:w="2372" w:type="dxa"/>
          </w:tcPr>
          <w:p w:rsidR="009E2398" w:rsidRDefault="00B00B00">
            <w:pPr>
              <w:jc w:val="center"/>
            </w:pPr>
            <w:r>
              <w:rPr>
                <w:b/>
              </w:rPr>
              <w:t>Minimal</w:t>
            </w:r>
          </w:p>
        </w:tc>
        <w:tc>
          <w:tcPr>
            <w:tcW w:w="2372" w:type="dxa"/>
          </w:tcPr>
          <w:p w:rsidR="009E2398" w:rsidRDefault="00B00B00">
            <w:pPr>
              <w:jc w:val="center"/>
            </w:pPr>
            <w:r>
              <w:rPr>
                <w:b/>
              </w:rPr>
              <w:t>Medium</w:t>
            </w:r>
          </w:p>
        </w:tc>
        <w:tc>
          <w:tcPr>
            <w:tcW w:w="2372" w:type="dxa"/>
          </w:tcPr>
          <w:p w:rsidR="009E2398" w:rsidRDefault="00B00B00">
            <w:pPr>
              <w:jc w:val="center"/>
            </w:pPr>
            <w:r>
              <w:rPr>
                <w:b/>
              </w:rPr>
              <w:t>Significant</w:t>
            </w:r>
          </w:p>
        </w:tc>
      </w:tr>
      <w:tr w:rsidR="009E2398">
        <w:trPr>
          <w:trHeight w:val="520"/>
        </w:trPr>
        <w:tc>
          <w:tcPr>
            <w:tcW w:w="2372" w:type="dxa"/>
            <w:vAlign w:val="center"/>
          </w:tcPr>
          <w:p w:rsidR="009E2398" w:rsidRDefault="00B00B00">
            <w:pPr>
              <w:jc w:val="center"/>
            </w:pPr>
            <w:r>
              <w:rPr>
                <w:b/>
              </w:rPr>
              <w:t>Labor</w:t>
            </w:r>
          </w:p>
        </w:tc>
        <w:tc>
          <w:tcPr>
            <w:tcW w:w="2372" w:type="dxa"/>
            <w:vAlign w:val="center"/>
          </w:tcPr>
          <w:p w:rsidR="009E2398" w:rsidRDefault="00B00B00">
            <w:pPr>
              <w:jc w:val="center"/>
            </w:pPr>
            <w:r>
              <w:t>X</w:t>
            </w:r>
          </w:p>
        </w:tc>
        <w:tc>
          <w:tcPr>
            <w:tcW w:w="2372" w:type="dxa"/>
            <w:vAlign w:val="center"/>
          </w:tcPr>
          <w:p w:rsidR="009E2398" w:rsidRDefault="009E2398">
            <w:pPr>
              <w:jc w:val="center"/>
            </w:pPr>
          </w:p>
        </w:tc>
        <w:tc>
          <w:tcPr>
            <w:tcW w:w="2372" w:type="dxa"/>
            <w:vAlign w:val="center"/>
          </w:tcPr>
          <w:p w:rsidR="009E2398" w:rsidRDefault="009E2398">
            <w:pPr>
              <w:jc w:val="center"/>
            </w:pPr>
          </w:p>
        </w:tc>
      </w:tr>
      <w:tr w:rsidR="009E2398">
        <w:trPr>
          <w:trHeight w:val="520"/>
        </w:trPr>
        <w:tc>
          <w:tcPr>
            <w:tcW w:w="2372" w:type="dxa"/>
            <w:vAlign w:val="center"/>
          </w:tcPr>
          <w:p w:rsidR="009E2398" w:rsidRDefault="00B00B00">
            <w:pPr>
              <w:jc w:val="center"/>
            </w:pPr>
            <w:r>
              <w:rPr>
                <w:b/>
              </w:rPr>
              <w:t>Expense</w:t>
            </w:r>
          </w:p>
        </w:tc>
        <w:tc>
          <w:tcPr>
            <w:tcW w:w="2372" w:type="dxa"/>
            <w:vAlign w:val="center"/>
          </w:tcPr>
          <w:p w:rsidR="009E2398" w:rsidRDefault="00B00B00">
            <w:pPr>
              <w:jc w:val="center"/>
            </w:pPr>
            <w:r>
              <w:t>X</w:t>
            </w:r>
          </w:p>
        </w:tc>
        <w:tc>
          <w:tcPr>
            <w:tcW w:w="2372" w:type="dxa"/>
            <w:vAlign w:val="center"/>
          </w:tcPr>
          <w:p w:rsidR="009E2398" w:rsidRDefault="009E2398">
            <w:pPr>
              <w:jc w:val="center"/>
            </w:pPr>
          </w:p>
        </w:tc>
        <w:tc>
          <w:tcPr>
            <w:tcW w:w="2372" w:type="dxa"/>
            <w:vAlign w:val="center"/>
          </w:tcPr>
          <w:p w:rsidR="009E2398" w:rsidRDefault="009E2398">
            <w:pPr>
              <w:jc w:val="center"/>
            </w:pPr>
          </w:p>
        </w:tc>
      </w:tr>
      <w:tr w:rsidR="009E2398">
        <w:trPr>
          <w:trHeight w:val="520"/>
        </w:trPr>
        <w:tc>
          <w:tcPr>
            <w:tcW w:w="2372" w:type="dxa"/>
            <w:vAlign w:val="center"/>
          </w:tcPr>
          <w:p w:rsidR="009E2398" w:rsidRDefault="00B00B00">
            <w:pPr>
              <w:jc w:val="center"/>
            </w:pPr>
            <w:r>
              <w:rPr>
                <w:b/>
              </w:rPr>
              <w:t>Ship/Assets</w:t>
            </w:r>
          </w:p>
        </w:tc>
        <w:tc>
          <w:tcPr>
            <w:tcW w:w="2372" w:type="dxa"/>
            <w:vAlign w:val="center"/>
          </w:tcPr>
          <w:p w:rsidR="009E2398" w:rsidRDefault="00B00B00">
            <w:pPr>
              <w:jc w:val="center"/>
            </w:pPr>
            <w:r>
              <w:t>X</w:t>
            </w:r>
          </w:p>
        </w:tc>
        <w:tc>
          <w:tcPr>
            <w:tcW w:w="2372" w:type="dxa"/>
            <w:vAlign w:val="center"/>
          </w:tcPr>
          <w:p w:rsidR="009E2398" w:rsidRDefault="009E2398">
            <w:pPr>
              <w:jc w:val="center"/>
            </w:pPr>
          </w:p>
        </w:tc>
        <w:tc>
          <w:tcPr>
            <w:tcW w:w="2372" w:type="dxa"/>
            <w:vAlign w:val="center"/>
          </w:tcPr>
          <w:p w:rsidR="009E2398" w:rsidRDefault="009E2398">
            <w:pPr>
              <w:jc w:val="center"/>
            </w:pPr>
          </w:p>
        </w:tc>
      </w:tr>
    </w:tbl>
    <w:p w:rsidR="009E2398" w:rsidRDefault="009E2398">
      <w:pPr>
        <w:tabs>
          <w:tab w:val="left" w:pos="1935"/>
        </w:tabs>
      </w:pPr>
    </w:p>
    <w:p w:rsidR="009E2398" w:rsidRDefault="00B00B00">
      <w:pPr>
        <w:tabs>
          <w:tab w:val="left" w:pos="1935"/>
        </w:tabs>
      </w:pPr>
      <w:r>
        <w:rPr>
          <w:i/>
        </w:rPr>
        <w:t>If you anticipate a large ramp-up or increase in resource requests in future years of the project, please include that information below.</w:t>
      </w:r>
    </w:p>
    <w:p w:rsidR="009E2398" w:rsidRDefault="009E2398">
      <w:pPr>
        <w:tabs>
          <w:tab w:val="left" w:pos="1935"/>
        </w:tabs>
      </w:pPr>
    </w:p>
    <w:p w:rsidR="009E2398" w:rsidRDefault="00B00B00">
      <w:pPr>
        <w:tabs>
          <w:tab w:val="left" w:pos="1935"/>
        </w:tabs>
      </w:pPr>
      <w:bookmarkStart w:id="0" w:name="_GoBack"/>
      <w:r>
        <w:t>We anticipate that deployments after year 1 will be integrated into ongoing field efforts and will not lead to additional resource requests.</w:t>
      </w:r>
    </w:p>
    <w:bookmarkEnd w:id="0"/>
    <w:p w:rsidR="009E2398" w:rsidRDefault="009E2398">
      <w:pPr>
        <w:tabs>
          <w:tab w:val="left" w:pos="1935"/>
        </w:tabs>
      </w:pPr>
    </w:p>
    <w:p w:rsidR="009E2398" w:rsidRDefault="009E2398">
      <w:pPr>
        <w:tabs>
          <w:tab w:val="left" w:pos="1935"/>
        </w:tabs>
      </w:pPr>
    </w:p>
    <w:sectPr w:rsidR="009E2398" w:rsidSect="00B81BF3">
      <w:headerReference w:type="default" r:id="rId6"/>
      <w:footerReference w:type="default" r:id="rId7"/>
      <w:pgSz w:w="12240" w:h="15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56B6" w:rsidRDefault="00B00B00">
      <w:r>
        <w:separator/>
      </w:r>
    </w:p>
  </w:endnote>
  <w:endnote w:type="continuationSeparator" w:id="0">
    <w:p w:rsidR="009856B6" w:rsidRDefault="00B00B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2398" w:rsidRDefault="00B00B00">
    <w:pPr>
      <w:pBdr>
        <w:top w:val="nil"/>
        <w:left w:val="nil"/>
        <w:bottom w:val="nil"/>
        <w:right w:val="nil"/>
        <w:between w:val="nil"/>
      </w:pBdr>
      <w:tabs>
        <w:tab w:val="center" w:pos="4320"/>
        <w:tab w:val="right" w:pos="8640"/>
      </w:tabs>
      <w:jc w:val="center"/>
      <w:rPr>
        <w:color w:val="000000"/>
      </w:rPr>
    </w:pPr>
    <w:r>
      <w:rPr>
        <w:color w:val="000000"/>
      </w:rPr>
      <w:t xml:space="preserve">Page </w:t>
    </w:r>
    <w:r>
      <w:rPr>
        <w:color w:val="000000"/>
      </w:rPr>
      <w:fldChar w:fldCharType="begin"/>
    </w:r>
    <w:r>
      <w:rPr>
        <w:color w:val="000000"/>
      </w:rPr>
      <w:instrText>PAGE</w:instrText>
    </w:r>
    <w:r>
      <w:rPr>
        <w:color w:val="000000"/>
      </w:rPr>
      <w:fldChar w:fldCharType="separate"/>
    </w:r>
    <w:r w:rsidR="00452E40">
      <w:rPr>
        <w:noProof/>
        <w:color w:val="000000"/>
      </w:rPr>
      <w:t>3</w:t>
    </w:r>
    <w:r>
      <w:rPr>
        <w:color w:val="000000"/>
      </w:rPr>
      <w:fldChar w:fldCharType="end"/>
    </w:r>
    <w:r>
      <w:rPr>
        <w:color w:val="000000"/>
      </w:rPr>
      <w:t xml:space="preserve"> of </w:t>
    </w:r>
    <w:r>
      <w:rPr>
        <w:color w:val="000000"/>
      </w:rPr>
      <w:fldChar w:fldCharType="begin"/>
    </w:r>
    <w:r>
      <w:rPr>
        <w:color w:val="000000"/>
      </w:rPr>
      <w:instrText>NUMPAGES</w:instrText>
    </w:r>
    <w:r>
      <w:rPr>
        <w:color w:val="000000"/>
      </w:rPr>
      <w:fldChar w:fldCharType="separate"/>
    </w:r>
    <w:r w:rsidR="00452E40">
      <w:rPr>
        <w:noProof/>
        <w:color w:val="000000"/>
      </w:rPr>
      <w:t>3</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56B6" w:rsidRDefault="00B00B00">
      <w:r>
        <w:separator/>
      </w:r>
    </w:p>
  </w:footnote>
  <w:footnote w:type="continuationSeparator" w:id="0">
    <w:p w:rsidR="009856B6" w:rsidRDefault="00B00B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2398" w:rsidRDefault="00B00B00">
    <w:pPr>
      <w:pBdr>
        <w:top w:val="nil"/>
        <w:left w:val="nil"/>
        <w:bottom w:val="nil"/>
        <w:right w:val="nil"/>
        <w:between w:val="nil"/>
      </w:pBdr>
      <w:tabs>
        <w:tab w:val="center" w:pos="4320"/>
        <w:tab w:val="right" w:pos="8640"/>
      </w:tabs>
      <w:jc w:val="center"/>
      <w:rPr>
        <w:color w:val="808080"/>
      </w:rPr>
    </w:pPr>
    <w:r>
      <w:rPr>
        <w:b/>
        <w:i/>
        <w:color w:val="808080"/>
      </w:rPr>
      <w:t xml:space="preserve">2019 Abstract Form – Internal-Only Projects (no external funding). </w:t>
    </w:r>
  </w:p>
  <w:p w:rsidR="009E2398" w:rsidRDefault="00B00B00">
    <w:pPr>
      <w:pBdr>
        <w:top w:val="nil"/>
        <w:left w:val="nil"/>
        <w:bottom w:val="nil"/>
        <w:right w:val="nil"/>
        <w:between w:val="nil"/>
      </w:pBdr>
      <w:tabs>
        <w:tab w:val="center" w:pos="4320"/>
        <w:tab w:val="right" w:pos="8640"/>
      </w:tabs>
      <w:jc w:val="center"/>
      <w:rPr>
        <w:color w:val="808080"/>
      </w:rPr>
    </w:pPr>
    <w:r>
      <w:rPr>
        <w:b/>
        <w:i/>
        <w:color w:val="808080"/>
      </w:rPr>
      <w:t>Deadline for abstract submission is 8:00 a.m. on Thursday, May 17th.</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2398"/>
    <w:rsid w:val="0000506C"/>
    <w:rsid w:val="00452E40"/>
    <w:rsid w:val="004A005D"/>
    <w:rsid w:val="00555D26"/>
    <w:rsid w:val="008A25BC"/>
    <w:rsid w:val="009856B6"/>
    <w:rsid w:val="009E2398"/>
    <w:rsid w:val="00B00B00"/>
    <w:rsid w:val="00B53512"/>
    <w:rsid w:val="00B81BF3"/>
    <w:rsid w:val="00E707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9EF4A"/>
  <w15:docId w15:val="{9655A47A-03E9-4D56-A161-6B4E29DD0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BalloonText">
    <w:name w:val="Balloon Text"/>
    <w:basedOn w:val="Normal"/>
    <w:link w:val="BalloonTextChar"/>
    <w:uiPriority w:val="99"/>
    <w:semiHidden/>
    <w:unhideWhenUsed/>
    <w:rsid w:val="0000506C"/>
    <w:rPr>
      <w:rFonts w:ascii="Tahoma" w:hAnsi="Tahoma" w:cs="Tahoma"/>
      <w:sz w:val="16"/>
      <w:szCs w:val="16"/>
    </w:rPr>
  </w:style>
  <w:style w:type="character" w:customStyle="1" w:styleId="BalloonTextChar">
    <w:name w:val="Balloon Text Char"/>
    <w:basedOn w:val="DefaultParagraphFont"/>
    <w:link w:val="BalloonText"/>
    <w:uiPriority w:val="99"/>
    <w:semiHidden/>
    <w:rsid w:val="0000506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141</TotalTime>
  <Pages>3</Pages>
  <Words>1122</Words>
  <Characters>6397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7504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Chad Kecy</dc:creator>
  <cp:lastModifiedBy>Chad Kecy</cp:lastModifiedBy>
  <cp:revision>5</cp:revision>
  <cp:lastPrinted>2018-06-06T17:48:00Z</cp:lastPrinted>
  <dcterms:created xsi:type="dcterms:W3CDTF">2019-05-07T17:11:00Z</dcterms:created>
  <dcterms:modified xsi:type="dcterms:W3CDTF">2019-05-07T19:41:00Z</dcterms:modified>
</cp:coreProperties>
</file>