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51FA4" w14:textId="5EC3FFFE" w:rsidR="00E27E0D" w:rsidRDefault="00E27E0D">
      <w:r>
        <w:t>Figures:</w:t>
      </w:r>
    </w:p>
    <w:p w14:paraId="6A04A597" w14:textId="0424EC04" w:rsidR="0061137B" w:rsidRDefault="0061137B" w:rsidP="0061137B">
      <w:r>
        <w:t xml:space="preserve">I don’t fully understand the part numbering scheme, </w:t>
      </w:r>
      <w:r>
        <w:t>i</w:t>
      </w:r>
      <w:r>
        <w:t>t looks like individual parts often have unique numbers from one figure that are used in other figures, but sometimes not.  This may need some review throughout</w:t>
      </w:r>
      <w:r w:rsidR="000E2036">
        <w:t xml:space="preserve"> as I found a number of places where the figure numbering doesn’t match the text.</w:t>
      </w:r>
    </w:p>
    <w:p w14:paraId="56B2E686" w14:textId="7BBA5E06" w:rsidR="00E27E0D" w:rsidRDefault="00E27E0D" w:rsidP="00E27E0D">
      <w:pPr>
        <w:pStyle w:val="ListParagraph"/>
        <w:numPr>
          <w:ilvl w:val="0"/>
          <w:numId w:val="5"/>
        </w:numPr>
      </w:pPr>
      <w:r>
        <w:t>In Fig 1, “Actuator Arm” still needs to be changed to “Docking Arm” to be consistent with the text.</w:t>
      </w:r>
    </w:p>
    <w:p w14:paraId="37B5F9BA" w14:textId="7302A99D" w:rsidR="00E27E0D" w:rsidRDefault="00E27E0D" w:rsidP="00E27E0D">
      <w:pPr>
        <w:pStyle w:val="ListParagraph"/>
        <w:numPr>
          <w:ilvl w:val="0"/>
          <w:numId w:val="5"/>
        </w:numPr>
      </w:pPr>
      <w:r>
        <w:t xml:space="preserve">In Fig 2, the “204” annotation is </w:t>
      </w:r>
      <w:proofErr w:type="gramStart"/>
      <w:r>
        <w:t>more clear</w:t>
      </w:r>
      <w:proofErr w:type="gramEnd"/>
      <w:r>
        <w:t xml:space="preserve"> to me now, so if you prefer to only have one, that works too.</w:t>
      </w:r>
    </w:p>
    <w:p w14:paraId="4831DFF3" w14:textId="485A13A5" w:rsidR="00E27E0D" w:rsidRDefault="00E27E0D" w:rsidP="00E27E0D">
      <w:pPr>
        <w:pStyle w:val="ListParagraph"/>
        <w:numPr>
          <w:ilvl w:val="0"/>
          <w:numId w:val="5"/>
        </w:numPr>
      </w:pPr>
      <w:r>
        <w:t xml:space="preserve">In Fig 3, one of the brushes is labeled “608”, and it should presumably be “308”.  </w:t>
      </w:r>
      <w:r w:rsidR="000E2036">
        <w:t>The rod is labeled 1002 and should presumably be 302 to match the text.</w:t>
      </w:r>
    </w:p>
    <w:p w14:paraId="0DC6D03A" w14:textId="227938EC" w:rsidR="00E27E0D" w:rsidRDefault="00E27E0D" w:rsidP="00E27E0D">
      <w:pPr>
        <w:pStyle w:val="ListParagraph"/>
        <w:numPr>
          <w:ilvl w:val="0"/>
          <w:numId w:val="5"/>
        </w:numPr>
      </w:pPr>
      <w:r>
        <w:t xml:space="preserve">In Fig 6, </w:t>
      </w:r>
      <w:r w:rsidR="0061137B">
        <w:t>Some</w:t>
      </w:r>
      <w:r>
        <w:t xml:space="preserve"> of these numbers are underlined, inconsistent with the style elsewhere.</w:t>
      </w:r>
    </w:p>
    <w:p w14:paraId="18E5D0D7" w14:textId="56686240" w:rsidR="00E27E0D" w:rsidRDefault="00E27E0D" w:rsidP="00E27E0D">
      <w:pPr>
        <w:pStyle w:val="ListParagraph"/>
        <w:numPr>
          <w:ilvl w:val="0"/>
          <w:numId w:val="5"/>
        </w:numPr>
      </w:pPr>
      <w:r>
        <w:t xml:space="preserve">In Fig 10, “522” and “526” are underlined, which is a different style </w:t>
      </w:r>
      <w:r w:rsidR="0061137B">
        <w:t xml:space="preserve">to </w:t>
      </w:r>
      <w:r>
        <w:t>other figure numbers.</w:t>
      </w:r>
    </w:p>
    <w:p w14:paraId="7DE3FA4E" w14:textId="2E067008" w:rsidR="00E27E0D" w:rsidRDefault="00E27E0D" w:rsidP="00E27E0D">
      <w:pPr>
        <w:pStyle w:val="ListParagraph"/>
        <w:numPr>
          <w:ilvl w:val="0"/>
          <w:numId w:val="5"/>
        </w:numPr>
      </w:pPr>
      <w:r>
        <w:t>In Fig 1</w:t>
      </w:r>
      <w:r>
        <w:t>1</w:t>
      </w:r>
      <w:r>
        <w:t>, “Actuator Arm” still needs to be changed to “Docking Arm” to be consistent with the text.</w:t>
      </w:r>
    </w:p>
    <w:p w14:paraId="3580CE07" w14:textId="1083DCD7" w:rsidR="00E27E0D" w:rsidRDefault="00E27E0D" w:rsidP="00E27E0D">
      <w:pPr>
        <w:pStyle w:val="ListParagraph"/>
        <w:numPr>
          <w:ilvl w:val="0"/>
          <w:numId w:val="5"/>
        </w:numPr>
      </w:pPr>
      <w:r>
        <w:t>In Fig 11, change “position sensor” to “proximity sensor” to be consistent with text (1106)</w:t>
      </w:r>
    </w:p>
    <w:p w14:paraId="2C997A86" w14:textId="16FE41DF" w:rsidR="0061137B" w:rsidRDefault="0061137B"/>
    <w:p w14:paraId="3331BDA9" w14:textId="77777777" w:rsidR="0061137B" w:rsidRDefault="0061137B"/>
    <w:p w14:paraId="5EB1639F" w14:textId="3146D544" w:rsidR="00870AAC" w:rsidRDefault="00870AAC">
      <w:r>
        <w:t>[000</w:t>
      </w:r>
      <w:r w:rsidR="0061137B">
        <w:t>3</w:t>
      </w:r>
      <w:r>
        <w:t xml:space="preserve">] </w:t>
      </w:r>
    </w:p>
    <w:p w14:paraId="6D39DC64" w14:textId="523C1977" w:rsidR="00E3202F" w:rsidRDefault="00870AAC">
      <w:r>
        <w:t>-</w:t>
      </w:r>
      <w:r w:rsidR="00E27E0D">
        <w:t xml:space="preserve"> </w:t>
      </w:r>
      <w:r>
        <w:t xml:space="preserve"> </w:t>
      </w:r>
      <w:r w:rsidR="0061137B">
        <w:t xml:space="preserve">The power may or may not pass through the sub-sea docking controller (it may be switched elsewhere…), so maybe “from the docking controller” could be struck from the second to last sentence. </w:t>
      </w:r>
      <w:r>
        <w:t>[ah]</w:t>
      </w:r>
    </w:p>
    <w:p w14:paraId="66A9D72D" w14:textId="1CB0B73C" w:rsidR="0061137B" w:rsidRDefault="0061137B"/>
    <w:p w14:paraId="42724320" w14:textId="490E34B5" w:rsidR="0061137B" w:rsidRDefault="009C70BA">
      <w:r>
        <w:t>[0009]</w:t>
      </w:r>
    </w:p>
    <w:p w14:paraId="4108D2CE" w14:textId="270BB5E4" w:rsidR="009C70BA" w:rsidRDefault="009C70BA">
      <w:r>
        <w:t>- Possible caption change:  FIG. 3 illustrates an example of electrical current transfer across contacts and brushes, and rectification.  [ah]</w:t>
      </w:r>
    </w:p>
    <w:p w14:paraId="718C02C3" w14:textId="47893357" w:rsidR="009C70BA" w:rsidRDefault="005C618B">
      <w:r>
        <w:t>[0025]</w:t>
      </w:r>
    </w:p>
    <w:p w14:paraId="758368DE" w14:textId="776BDDD4" w:rsidR="005C618B" w:rsidRDefault="005C618B">
      <w:r>
        <w:t xml:space="preserve">- </w:t>
      </w:r>
      <w:r w:rsidR="00957F4B">
        <w:t>The jaw assembly is referred to as “144” where it should be “114”. [ah]</w:t>
      </w:r>
    </w:p>
    <w:p w14:paraId="002A0F59" w14:textId="407CC901" w:rsidR="00957F4B" w:rsidRDefault="00957F4B">
      <w:r>
        <w:t>[0030]</w:t>
      </w:r>
    </w:p>
    <w:p w14:paraId="0E37F47F" w14:textId="1FEC0071" w:rsidR="00957F4B" w:rsidRDefault="00957F4B">
      <w:r>
        <w:t xml:space="preserve">- Thank you for including the option to hang this from the surface, it may be best to refer to the buoy in the last sentence as a “surface buoy” to make that point.  In our field, sometimes one refers to a sub-surface buoy, so “buoy” is a little ambiguous.  </w:t>
      </w:r>
    </w:p>
    <w:p w14:paraId="3BD9A539" w14:textId="2B231C6E" w:rsidR="00957F4B" w:rsidRDefault="0088707C">
      <w:r>
        <w:t xml:space="preserve">[0042] Docking rod is </w:t>
      </w:r>
      <w:proofErr w:type="spellStart"/>
      <w:r>
        <w:t>refered</w:t>
      </w:r>
      <w:proofErr w:type="spellEnd"/>
      <w:r>
        <w:t xml:space="preserve"> to as 212, but shown in the diagram as 414,</w:t>
      </w:r>
      <w:r w:rsidR="0004170C">
        <w:t xml:space="preserve"> I’m</w:t>
      </w:r>
      <w:r>
        <w:t xml:space="preserve"> not sure of the numbering scheme as the docking rod is in fact 212 </w:t>
      </w:r>
      <w:r w:rsidR="0004170C">
        <w:t>in Fig 2, so maybe it’s correct.</w:t>
      </w:r>
    </w:p>
    <w:p w14:paraId="6852B7EF" w14:textId="1AD899B6" w:rsidR="00957F4B" w:rsidRDefault="00957F4B">
      <w:r>
        <w:lastRenderedPageBreak/>
        <w:t>[0031]</w:t>
      </w:r>
    </w:p>
    <w:p w14:paraId="028D9D95" w14:textId="44D89F0A" w:rsidR="00957F4B" w:rsidRDefault="00957F4B">
      <w:r>
        <w:t>- I think this should refer to FIG 2, based on all the 200 series numbers in the subsequent description.</w:t>
      </w:r>
    </w:p>
    <w:p w14:paraId="455A2730" w14:textId="2E9E2D23" w:rsidR="00957F4B" w:rsidRDefault="00957F4B"/>
    <w:p w14:paraId="0536633F" w14:textId="40DE13DB" w:rsidR="00957F4B" w:rsidRDefault="000E2036">
      <w:r>
        <w:t>[0032</w:t>
      </w:r>
      <w:proofErr w:type="gramStart"/>
      <w:r>
        <w:t>]  The</w:t>
      </w:r>
      <w:proofErr w:type="gramEnd"/>
      <w:r>
        <w:t xml:space="preserve"> last sentence here isn’t incorrect, but it’s a bit mis-leading to talk about solar power from a float that is shown as a sub-surface float.  It do</w:t>
      </w:r>
      <w:bookmarkStart w:id="0" w:name="_GoBack"/>
      <w:bookmarkEnd w:id="0"/>
      <w:r>
        <w:t>es point out that this can be on or near the surface, but most would interpret this figure as being a subsurface arrangement.  Maybe it’s OK to just say “powered by a sub-sea cable that can get power from a number of sources, solar buoy, wave-buoy, sub-sea turbine, sub-sea cable, etc.)</w:t>
      </w:r>
    </w:p>
    <w:p w14:paraId="334DFBB3" w14:textId="7175AF48" w:rsidR="00957F4B" w:rsidRDefault="000E2036">
      <w:r>
        <w:t>[0034] – I think this may mean to refer to FIG 4 in the second sentence.</w:t>
      </w:r>
    </w:p>
    <w:p w14:paraId="4AD25B7C" w14:textId="2ED8CE82" w:rsidR="000E2036" w:rsidRDefault="000E2036"/>
    <w:p w14:paraId="4E771795" w14:textId="49D09E79" w:rsidR="002341F6" w:rsidRDefault="002341F6"/>
    <w:p w14:paraId="635C5EA6" w14:textId="441FC85F" w:rsidR="002341F6" w:rsidRDefault="002341F6">
      <w:r>
        <w:t>Claims</w:t>
      </w:r>
    </w:p>
    <w:p w14:paraId="1256B237" w14:textId="31831F55" w:rsidR="002341F6" w:rsidRDefault="002341F6">
      <w:r>
        <w:t>12.   Optical homing techniques could be used instead of sonar, I’m not sure if that’s relevant here.</w:t>
      </w:r>
    </w:p>
    <w:p w14:paraId="0E55DDD8" w14:textId="013911E0" w:rsidR="002341F6" w:rsidRDefault="002341F6">
      <w:r>
        <w:t xml:space="preserve">17.  Docking capture assembly could be located further back than one half the vehicle length from the front, there’s nothing magical about that, in our case it’s just the convenient place.  </w:t>
      </w:r>
      <w:proofErr w:type="spellStart"/>
      <w:r>
        <w:t>Similarily</w:t>
      </w:r>
      <w:proofErr w:type="spellEnd"/>
      <w:r>
        <w:t xml:space="preserve">, one could place the dock right at the nose of the vehicle, probably with two actuated capture arms instead of the guide structure.  </w:t>
      </w:r>
    </w:p>
    <w:p w14:paraId="75101BCD" w14:textId="06076E5A" w:rsidR="002341F6" w:rsidRDefault="002341F6"/>
    <w:p w14:paraId="6621354E" w14:textId="77777777" w:rsidR="002341F6" w:rsidRDefault="002341F6"/>
    <w:sectPr w:rsidR="00234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935D8"/>
    <w:multiLevelType w:val="hybridMultilevel"/>
    <w:tmpl w:val="BE52FFF4"/>
    <w:lvl w:ilvl="0" w:tplc="D5CA57B8">
      <w:start w:val="1"/>
      <w:numFmt w:val="decimalZero"/>
      <w:lvlText w:val="[00%1]"/>
      <w:lvlJc w:val="left"/>
      <w:pPr>
        <w:tabs>
          <w:tab w:val="num" w:pos="1440"/>
        </w:tabs>
        <w:ind w:left="0" w:firstLine="0"/>
      </w:pPr>
      <w:rPr>
        <w:rFonts w:ascii="Arial" w:hAnsi="Arial" w:cs="Arial" w:hint="default"/>
        <w:b/>
        <w:i w:val="0"/>
        <w:strike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CA626A"/>
    <w:multiLevelType w:val="hybridMultilevel"/>
    <w:tmpl w:val="CC6A7EDA"/>
    <w:lvl w:ilvl="0" w:tplc="505E8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8774B"/>
    <w:multiLevelType w:val="hybridMultilevel"/>
    <w:tmpl w:val="051C3AE2"/>
    <w:lvl w:ilvl="0" w:tplc="0A04C0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AE16A6"/>
    <w:multiLevelType w:val="hybridMultilevel"/>
    <w:tmpl w:val="A5CAD5AC"/>
    <w:lvl w:ilvl="0" w:tplc="9FC4D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E46F3"/>
    <w:multiLevelType w:val="hybridMultilevel"/>
    <w:tmpl w:val="7454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E9"/>
    <w:rsid w:val="0004170C"/>
    <w:rsid w:val="000C4A30"/>
    <w:rsid w:val="000E2036"/>
    <w:rsid w:val="00174CCD"/>
    <w:rsid w:val="001C3C1D"/>
    <w:rsid w:val="002341F6"/>
    <w:rsid w:val="00335CF6"/>
    <w:rsid w:val="0042460F"/>
    <w:rsid w:val="005214DC"/>
    <w:rsid w:val="005C618B"/>
    <w:rsid w:val="0061137B"/>
    <w:rsid w:val="00870AAC"/>
    <w:rsid w:val="0088707C"/>
    <w:rsid w:val="00942682"/>
    <w:rsid w:val="00957F4B"/>
    <w:rsid w:val="009C70BA"/>
    <w:rsid w:val="00AB3786"/>
    <w:rsid w:val="00AC6706"/>
    <w:rsid w:val="00C810E7"/>
    <w:rsid w:val="00C839E9"/>
    <w:rsid w:val="00D16B8E"/>
    <w:rsid w:val="00E27E0D"/>
    <w:rsid w:val="00E3202F"/>
    <w:rsid w:val="00FC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19BE"/>
  <w15:chartTrackingRefBased/>
  <w15:docId w15:val="{90392C06-EE48-4EAA-B435-DF00D2AD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CF6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42682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426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7</cp:revision>
  <dcterms:created xsi:type="dcterms:W3CDTF">2023-04-25T14:15:00Z</dcterms:created>
  <dcterms:modified xsi:type="dcterms:W3CDTF">2023-04-27T04:38:00Z</dcterms:modified>
</cp:coreProperties>
</file>