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9FDC6" w14:textId="77777777" w:rsidR="00B974F4" w:rsidRPr="00B974F4" w:rsidRDefault="00B974F4" w:rsidP="00B974F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974F4">
        <w:rPr>
          <w:rFonts w:ascii="Arial" w:eastAsia="Times New Roman" w:hAnsi="Arial" w:cs="Arial"/>
          <w:color w:val="000000"/>
          <w:sz w:val="24"/>
          <w:szCs w:val="24"/>
        </w:rPr>
        <w:t>Technical Data Package</w:t>
      </w:r>
    </w:p>
    <w:p w14:paraId="76698578" w14:textId="77777777" w:rsidR="00B974F4" w:rsidRPr="00B974F4" w:rsidRDefault="00B974F4" w:rsidP="00B974F4">
      <w:pPr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B974F4">
        <w:rPr>
          <w:rFonts w:ascii="Arial" w:eastAsia="Times New Roman" w:hAnsi="Arial" w:cs="Arial"/>
          <w:color w:val="000000"/>
        </w:rPr>
        <w:t xml:space="preserve">A technical data package (TDP) will be assembled by MBARI that contains the mechanical and electrical design details of the system developed for docking the MBARI LRAUV using </w:t>
      </w:r>
      <w:proofErr w:type="spellStart"/>
      <w:r w:rsidRPr="00B974F4">
        <w:rPr>
          <w:rFonts w:ascii="Arial" w:eastAsia="Times New Roman" w:hAnsi="Arial" w:cs="Arial"/>
          <w:color w:val="000000"/>
        </w:rPr>
        <w:t>Niobicon</w:t>
      </w:r>
      <w:proofErr w:type="spellEnd"/>
      <w:r w:rsidRPr="00B974F4">
        <w:rPr>
          <w:rFonts w:ascii="Arial" w:eastAsia="Times New Roman" w:hAnsi="Arial" w:cs="Arial"/>
          <w:color w:val="000000"/>
        </w:rPr>
        <w:t xml:space="preserve">.  This package will consist of two components: </w:t>
      </w:r>
    </w:p>
    <w:p w14:paraId="49324634" w14:textId="2261A2BC" w:rsidR="00B974F4" w:rsidRPr="00B974F4" w:rsidRDefault="00B974F4" w:rsidP="00B974F4">
      <w:pPr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B974F4">
        <w:rPr>
          <w:rFonts w:ascii="Arial" w:eastAsia="Times New Roman" w:hAnsi="Arial" w:cs="Arial"/>
          <w:color w:val="000000"/>
        </w:rPr>
        <w:t>Part A</w:t>
      </w:r>
      <w:r w:rsidR="00F2133C">
        <w:rPr>
          <w:rFonts w:ascii="Arial" w:eastAsia="Times New Roman" w:hAnsi="Arial" w:cs="Arial"/>
          <w:color w:val="000000"/>
        </w:rPr>
        <w:t>:</w:t>
      </w:r>
      <w:r w:rsidRPr="00B974F4">
        <w:rPr>
          <w:rFonts w:ascii="Arial" w:eastAsia="Times New Roman" w:hAnsi="Arial" w:cs="Arial"/>
          <w:color w:val="000000"/>
        </w:rPr>
        <w:t xml:space="preserve"> The details of the AUV dock and electronics that the vehicle docks to. </w:t>
      </w:r>
    </w:p>
    <w:p w14:paraId="28BC0B3D" w14:textId="7EEC09BB" w:rsidR="00B974F4" w:rsidRPr="00B974F4" w:rsidRDefault="00B974F4" w:rsidP="00B974F4">
      <w:pPr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B974F4">
        <w:rPr>
          <w:rFonts w:ascii="Arial" w:eastAsia="Times New Roman" w:hAnsi="Arial" w:cs="Arial"/>
          <w:color w:val="000000"/>
        </w:rPr>
        <w:t>Part B</w:t>
      </w:r>
      <w:r w:rsidR="00F2133C">
        <w:rPr>
          <w:rFonts w:ascii="Arial" w:eastAsia="Times New Roman" w:hAnsi="Arial" w:cs="Arial"/>
          <w:color w:val="000000"/>
        </w:rPr>
        <w:t>:</w:t>
      </w:r>
      <w:r w:rsidRPr="00B974F4">
        <w:rPr>
          <w:rFonts w:ascii="Arial" w:eastAsia="Times New Roman" w:hAnsi="Arial" w:cs="Arial"/>
          <w:color w:val="000000"/>
        </w:rPr>
        <w:t xml:space="preserve"> The details of the latch and electronics that ride aboard the vehicle. </w:t>
      </w:r>
    </w:p>
    <w:p w14:paraId="5107EE8A" w14:textId="77777777" w:rsidR="00B974F4" w:rsidRPr="00B974F4" w:rsidRDefault="00B974F4" w:rsidP="00B974F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856F3A2" w14:textId="77777777" w:rsidR="00B974F4" w:rsidRPr="00B974F4" w:rsidRDefault="00B974F4" w:rsidP="00B974F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974F4">
        <w:rPr>
          <w:rFonts w:ascii="Arial" w:eastAsia="Times New Roman" w:hAnsi="Arial" w:cs="Arial"/>
          <w:color w:val="000000"/>
          <w:sz w:val="24"/>
          <w:szCs w:val="24"/>
        </w:rPr>
        <w:t>License</w:t>
      </w:r>
    </w:p>
    <w:p w14:paraId="7ACD5CF9" w14:textId="77777777" w:rsidR="00B974F4" w:rsidRPr="00B974F4" w:rsidRDefault="00B974F4" w:rsidP="00B974F4">
      <w:pPr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B974F4">
        <w:rPr>
          <w:rFonts w:ascii="Arial" w:eastAsia="Times New Roman" w:hAnsi="Arial" w:cs="Arial"/>
          <w:color w:val="000000"/>
        </w:rPr>
        <w:t>Northrop will be licensed to build a replica (or derivative) of the AUV dock (TDP Part A) for the purposes of demonstrating AUV docking of one or more third party AUV systems.</w:t>
      </w:r>
    </w:p>
    <w:p w14:paraId="3374B578" w14:textId="038D0CB9" w:rsidR="00B974F4" w:rsidRPr="00B974F4" w:rsidRDefault="00B974F4" w:rsidP="00B974F4">
      <w:pPr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commentRangeStart w:id="0"/>
      <w:r w:rsidRPr="00B974F4">
        <w:rPr>
          <w:rFonts w:ascii="Arial" w:eastAsia="Times New Roman" w:hAnsi="Arial" w:cs="Arial"/>
          <w:color w:val="000000"/>
        </w:rPr>
        <w:t xml:space="preserve">Northrop will be </w:t>
      </w:r>
      <w:r w:rsidR="00416AE4">
        <w:rPr>
          <w:rFonts w:ascii="Arial" w:eastAsia="Times New Roman" w:hAnsi="Arial" w:cs="Arial"/>
          <w:color w:val="000000"/>
        </w:rPr>
        <w:t>allowed</w:t>
      </w:r>
      <w:r w:rsidRPr="00B974F4">
        <w:rPr>
          <w:rFonts w:ascii="Arial" w:eastAsia="Times New Roman" w:hAnsi="Arial" w:cs="Arial"/>
          <w:color w:val="000000"/>
        </w:rPr>
        <w:t xml:space="preserve"> to sub-license Part B of the TDP to </w:t>
      </w:r>
      <w:proofErr w:type="spellStart"/>
      <w:r w:rsidRPr="00B974F4">
        <w:rPr>
          <w:rFonts w:ascii="Arial" w:eastAsia="Times New Roman" w:hAnsi="Arial" w:cs="Arial"/>
          <w:color w:val="000000"/>
        </w:rPr>
        <w:t>Anduril</w:t>
      </w:r>
      <w:proofErr w:type="spellEnd"/>
      <w:r w:rsidR="00416AE4">
        <w:rPr>
          <w:rFonts w:ascii="Arial" w:eastAsia="Times New Roman" w:hAnsi="Arial" w:cs="Arial"/>
          <w:color w:val="000000"/>
        </w:rPr>
        <w:t xml:space="preserve"> on a non-exclusive basis</w:t>
      </w:r>
      <w:r w:rsidR="005202DF">
        <w:rPr>
          <w:rFonts w:ascii="Arial" w:eastAsia="Times New Roman" w:hAnsi="Arial" w:cs="Arial"/>
          <w:color w:val="000000"/>
        </w:rPr>
        <w:t xml:space="preserve">, </w:t>
      </w:r>
      <w:commentRangeEnd w:id="0"/>
      <w:r w:rsidR="005202DF">
        <w:rPr>
          <w:rStyle w:val="CommentReference"/>
        </w:rPr>
        <w:commentReference w:id="0"/>
      </w:r>
      <w:r w:rsidRPr="00B974F4">
        <w:rPr>
          <w:rFonts w:ascii="Arial" w:eastAsia="Times New Roman" w:hAnsi="Arial" w:cs="Arial"/>
          <w:color w:val="000000"/>
        </w:rPr>
        <w:t xml:space="preserve">as part of whatever other license terms Northrop deems appropriate for the use of </w:t>
      </w:r>
      <w:proofErr w:type="spellStart"/>
      <w:r w:rsidRPr="00B974F4">
        <w:rPr>
          <w:rFonts w:ascii="Arial" w:eastAsia="Times New Roman" w:hAnsi="Arial" w:cs="Arial"/>
          <w:color w:val="000000"/>
        </w:rPr>
        <w:t>Niobicon</w:t>
      </w:r>
      <w:proofErr w:type="spellEnd"/>
      <w:r w:rsidRPr="00B974F4">
        <w:rPr>
          <w:rFonts w:ascii="Arial" w:eastAsia="Times New Roman" w:hAnsi="Arial" w:cs="Arial"/>
          <w:color w:val="000000"/>
        </w:rPr>
        <w:t xml:space="preserve"> and the docking Joint IP we've developed.</w:t>
      </w:r>
    </w:p>
    <w:p w14:paraId="1F627D8F" w14:textId="77777777" w:rsidR="00B974F4" w:rsidRPr="00B974F4" w:rsidRDefault="00B974F4" w:rsidP="00B974F4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20779CEF" w14:textId="77777777" w:rsidR="00B974F4" w:rsidRPr="00B974F4" w:rsidRDefault="00B974F4" w:rsidP="00B974F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974F4">
        <w:rPr>
          <w:rFonts w:ascii="Arial" w:eastAsia="Times New Roman" w:hAnsi="Arial" w:cs="Arial"/>
          <w:color w:val="000000"/>
          <w:sz w:val="24"/>
          <w:szCs w:val="24"/>
        </w:rPr>
        <w:t>Support</w:t>
      </w:r>
    </w:p>
    <w:p w14:paraId="27CC4954" w14:textId="2C7F716E" w:rsidR="00B974F4" w:rsidRPr="00B974F4" w:rsidRDefault="00B974F4" w:rsidP="00B974F4">
      <w:pPr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B974F4">
        <w:rPr>
          <w:rFonts w:ascii="Arial" w:eastAsia="Times New Roman" w:hAnsi="Arial" w:cs="Arial"/>
          <w:color w:val="000000"/>
        </w:rPr>
        <w:t xml:space="preserve">MBARI will provide support of the technical data package on a time and materials basis, to either Northrop, </w:t>
      </w:r>
      <w:proofErr w:type="spellStart"/>
      <w:r w:rsidRPr="00B974F4">
        <w:rPr>
          <w:rFonts w:ascii="Arial" w:eastAsia="Times New Roman" w:hAnsi="Arial" w:cs="Arial"/>
          <w:color w:val="000000"/>
        </w:rPr>
        <w:t>Anduril</w:t>
      </w:r>
      <w:proofErr w:type="spellEnd"/>
      <w:r w:rsidRPr="00B974F4">
        <w:rPr>
          <w:rFonts w:ascii="Arial" w:eastAsia="Times New Roman" w:hAnsi="Arial" w:cs="Arial"/>
          <w:color w:val="000000"/>
        </w:rPr>
        <w:t>, or both. We expect approximately 40 hours of support will be sufficient.</w:t>
      </w:r>
    </w:p>
    <w:p w14:paraId="6325E073" w14:textId="77777777" w:rsidR="00B974F4" w:rsidRPr="00B974F4" w:rsidRDefault="00B974F4" w:rsidP="00B974F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F2079D0" w14:textId="77777777" w:rsidR="00B974F4" w:rsidRPr="00B974F4" w:rsidRDefault="00B974F4" w:rsidP="00B974F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974F4">
        <w:rPr>
          <w:rFonts w:ascii="Arial" w:eastAsia="Times New Roman" w:hAnsi="Arial" w:cs="Arial"/>
          <w:color w:val="000000"/>
          <w:sz w:val="24"/>
          <w:szCs w:val="24"/>
        </w:rPr>
        <w:t>Compensation:</w:t>
      </w:r>
    </w:p>
    <w:p w14:paraId="5BEDF8D4" w14:textId="233B141D" w:rsidR="00B974F4" w:rsidRDefault="00B974F4" w:rsidP="00B974F4">
      <w:pPr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commentRangeStart w:id="1"/>
      <w:r w:rsidRPr="00B974F4">
        <w:rPr>
          <w:rFonts w:ascii="Arial" w:eastAsia="Times New Roman" w:hAnsi="Arial" w:cs="Arial"/>
          <w:color w:val="000000"/>
        </w:rPr>
        <w:t>Northrop will compensate MBARI for up to 20 hours to develop the TDP</w:t>
      </w:r>
      <w:commentRangeEnd w:id="1"/>
      <w:r w:rsidR="00123F84">
        <w:rPr>
          <w:rStyle w:val="CommentReference"/>
        </w:rPr>
        <w:commentReference w:id="1"/>
      </w:r>
      <w:r w:rsidRPr="00B974F4">
        <w:rPr>
          <w:rFonts w:ascii="Arial" w:eastAsia="Times New Roman" w:hAnsi="Arial" w:cs="Arial"/>
          <w:color w:val="000000"/>
        </w:rPr>
        <w:t xml:space="preserve">, and </w:t>
      </w:r>
      <w:r w:rsidR="00416AE4">
        <w:rPr>
          <w:rFonts w:ascii="Arial" w:eastAsia="Times New Roman" w:hAnsi="Arial" w:cs="Arial"/>
          <w:color w:val="000000"/>
        </w:rPr>
        <w:t xml:space="preserve">up to 40 hours for support of the TDP for Northrop or </w:t>
      </w:r>
      <w:proofErr w:type="spellStart"/>
      <w:r w:rsidR="00416AE4">
        <w:rPr>
          <w:rFonts w:ascii="Arial" w:eastAsia="Times New Roman" w:hAnsi="Arial" w:cs="Arial"/>
          <w:color w:val="000000"/>
        </w:rPr>
        <w:t>Anduril</w:t>
      </w:r>
      <w:proofErr w:type="spellEnd"/>
      <w:r w:rsidR="00416AE4">
        <w:rPr>
          <w:rFonts w:ascii="Arial" w:eastAsia="Times New Roman" w:hAnsi="Arial" w:cs="Arial"/>
          <w:color w:val="000000"/>
        </w:rPr>
        <w:t xml:space="preserve">. Any revenue Northrop derives from sub-licensing this TDP to </w:t>
      </w:r>
      <w:proofErr w:type="spellStart"/>
      <w:r w:rsidR="00416AE4">
        <w:rPr>
          <w:rFonts w:ascii="Arial" w:eastAsia="Times New Roman" w:hAnsi="Arial" w:cs="Arial"/>
          <w:color w:val="000000"/>
        </w:rPr>
        <w:t>Anduril</w:t>
      </w:r>
      <w:proofErr w:type="spellEnd"/>
      <w:r w:rsidR="00416AE4">
        <w:rPr>
          <w:rFonts w:ascii="Arial" w:eastAsia="Times New Roman" w:hAnsi="Arial" w:cs="Arial"/>
          <w:color w:val="000000"/>
        </w:rPr>
        <w:t xml:space="preserve"> will be treated in the same way currently stipulated for</w:t>
      </w:r>
      <w:r w:rsidR="00620AC6">
        <w:rPr>
          <w:rFonts w:ascii="Arial" w:eastAsia="Times New Roman" w:hAnsi="Arial" w:cs="Arial"/>
          <w:color w:val="000000"/>
        </w:rPr>
        <w:t xml:space="preserve"> third party licensing of</w:t>
      </w:r>
      <w:r w:rsidR="00416AE4">
        <w:rPr>
          <w:rFonts w:ascii="Arial" w:eastAsia="Times New Roman" w:hAnsi="Arial" w:cs="Arial"/>
          <w:color w:val="000000"/>
        </w:rPr>
        <w:t xml:space="preserve"> the Joint IP in the MBARI/Northrop Joint Ownership agreement. Similarly, no revenue sharing is expected fr</w:t>
      </w:r>
      <w:r w:rsidR="00620AC6">
        <w:rPr>
          <w:rFonts w:ascii="Arial" w:eastAsia="Times New Roman" w:hAnsi="Arial" w:cs="Arial"/>
          <w:color w:val="000000"/>
        </w:rPr>
        <w:t>om</w:t>
      </w:r>
      <w:r w:rsidR="00416AE4">
        <w:rPr>
          <w:rFonts w:ascii="Arial" w:eastAsia="Times New Roman" w:hAnsi="Arial" w:cs="Arial"/>
          <w:color w:val="000000"/>
        </w:rPr>
        <w:t xml:space="preserve"> Northrop</w:t>
      </w:r>
      <w:r w:rsidR="00620AC6">
        <w:rPr>
          <w:rFonts w:ascii="Arial" w:eastAsia="Times New Roman" w:hAnsi="Arial" w:cs="Arial"/>
          <w:color w:val="000000"/>
        </w:rPr>
        <w:t xml:space="preserve"> for the</w:t>
      </w:r>
      <w:r w:rsidR="00416AE4">
        <w:rPr>
          <w:rFonts w:ascii="Arial" w:eastAsia="Times New Roman" w:hAnsi="Arial" w:cs="Arial"/>
          <w:color w:val="000000"/>
        </w:rPr>
        <w:t xml:space="preserve"> internal use of this license.</w:t>
      </w:r>
    </w:p>
    <w:p w14:paraId="305549A3" w14:textId="52F6B07B" w:rsidR="00B974F4" w:rsidRDefault="00B974F4" w:rsidP="00B974F4">
      <w:pPr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</w:p>
    <w:p w14:paraId="1F9C9F41" w14:textId="0D32E06B" w:rsidR="00B974F4" w:rsidRPr="00B974F4" w:rsidRDefault="00B974F4" w:rsidP="00B974F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974F4">
        <w:rPr>
          <w:rFonts w:ascii="Arial" w:eastAsia="Times New Roman" w:hAnsi="Arial" w:cs="Arial"/>
          <w:color w:val="000000"/>
          <w:sz w:val="24"/>
          <w:szCs w:val="24"/>
        </w:rPr>
        <w:t>Improvements:</w:t>
      </w:r>
    </w:p>
    <w:p w14:paraId="5D2DB2F2" w14:textId="1D7860FE" w:rsidR="00B974F4" w:rsidRDefault="00C4091C" w:rsidP="00B974F4">
      <w:pPr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MBARI will have access to</w:t>
      </w:r>
      <w:r w:rsidR="00416AE4">
        <w:rPr>
          <w:rFonts w:ascii="Arial" w:eastAsia="Times New Roman" w:hAnsi="Arial" w:cs="Arial"/>
          <w:color w:val="000000"/>
        </w:rPr>
        <w:t xml:space="preserve"> any improvements to the design Northrop or sub-licensees make, including</w:t>
      </w:r>
      <w:r>
        <w:rPr>
          <w:rFonts w:ascii="Arial" w:eastAsia="Times New Roman" w:hAnsi="Arial" w:cs="Arial"/>
          <w:color w:val="000000"/>
        </w:rPr>
        <w:t xml:space="preserve"> the design </w:t>
      </w:r>
      <w:r w:rsidR="00416AE4">
        <w:rPr>
          <w:rFonts w:ascii="Arial" w:eastAsia="Times New Roman" w:hAnsi="Arial" w:cs="Arial"/>
          <w:color w:val="000000"/>
        </w:rPr>
        <w:t>drawings of the results.</w:t>
      </w:r>
    </w:p>
    <w:p w14:paraId="2E2DC34C" w14:textId="2CA9F7FA" w:rsidR="00416AE4" w:rsidRDefault="00416AE4" w:rsidP="00B974F4">
      <w:pPr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</w:p>
    <w:p w14:paraId="179B8931" w14:textId="4DF88FA5" w:rsidR="00620AC6" w:rsidRPr="00B974F4" w:rsidRDefault="00620AC6" w:rsidP="00620AC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Limitations</w:t>
      </w:r>
      <w:r w:rsidRPr="00B974F4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44EAE4BB" w14:textId="3BF055F0" w:rsidR="00620AC6" w:rsidRDefault="00620AC6" w:rsidP="00620AC6">
      <w:pPr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The license of the TDP is for the purposes only of performing the envisioned demonstration of this system with the </w:t>
      </w:r>
      <w:proofErr w:type="spellStart"/>
      <w:r>
        <w:rPr>
          <w:rFonts w:ascii="Arial" w:eastAsia="Times New Roman" w:hAnsi="Arial" w:cs="Arial"/>
          <w:color w:val="000000"/>
        </w:rPr>
        <w:t>Anduril</w:t>
      </w:r>
      <w:proofErr w:type="spellEnd"/>
      <w:r>
        <w:rPr>
          <w:rFonts w:ascii="Arial" w:eastAsia="Times New Roman" w:hAnsi="Arial" w:cs="Arial"/>
          <w:color w:val="000000"/>
        </w:rPr>
        <w:t xml:space="preserve"> platf</w:t>
      </w:r>
      <w:r w:rsidR="005202DF">
        <w:rPr>
          <w:rFonts w:ascii="Arial" w:eastAsia="Times New Roman" w:hAnsi="Arial" w:cs="Arial"/>
          <w:color w:val="000000"/>
        </w:rPr>
        <w:t>or</w:t>
      </w:r>
      <w:r>
        <w:rPr>
          <w:rFonts w:ascii="Arial" w:eastAsia="Times New Roman" w:hAnsi="Arial" w:cs="Arial"/>
          <w:color w:val="000000"/>
        </w:rPr>
        <w:t>m. Further use with other AUV manufacturers would require a subsequent license</w:t>
      </w:r>
      <w:r>
        <w:rPr>
          <w:rFonts w:ascii="Arial" w:eastAsia="Times New Roman" w:hAnsi="Arial" w:cs="Arial"/>
          <w:color w:val="000000"/>
        </w:rPr>
        <w:t>.</w:t>
      </w:r>
    </w:p>
    <w:p w14:paraId="213EA35B" w14:textId="77777777" w:rsidR="00620AC6" w:rsidRDefault="00620AC6" w:rsidP="00B974F4">
      <w:pPr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</w:p>
    <w:p w14:paraId="27456B19" w14:textId="77777777" w:rsidR="00FB3550" w:rsidRDefault="00150195">
      <w:bookmarkStart w:id="2" w:name="_GoBack"/>
      <w:bookmarkEnd w:id="2"/>
    </w:p>
    <w:sectPr w:rsidR="00FB35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Andrew Hamilton" w:date="2024-10-29T15:13:00Z" w:initials="AH">
    <w:p w14:paraId="552DCC0E" w14:textId="116F27D6" w:rsidR="005202DF" w:rsidRDefault="005202DF">
      <w:pPr>
        <w:pStyle w:val="CommentText"/>
      </w:pPr>
      <w:r>
        <w:rPr>
          <w:rStyle w:val="CommentReference"/>
        </w:rPr>
        <w:annotationRef/>
      </w:r>
      <w:r>
        <w:t xml:space="preserve">Alternatively, we could do a second agreement with </w:t>
      </w:r>
      <w:proofErr w:type="spellStart"/>
      <w:r>
        <w:t>Anduril</w:t>
      </w:r>
      <w:proofErr w:type="spellEnd"/>
      <w:r>
        <w:t>, but I think Northrop will already be doing this so it may be easiest to just leave it to them so we only have to do one agreement.</w:t>
      </w:r>
    </w:p>
  </w:comment>
  <w:comment w:id="1" w:author="Andrew Hamilton" w:date="2024-10-29T15:12:00Z" w:initials="AH">
    <w:p w14:paraId="3D86DA5C" w14:textId="648DC9EC" w:rsidR="00123F84" w:rsidRDefault="00123F84">
      <w:pPr>
        <w:pStyle w:val="CommentText"/>
      </w:pPr>
      <w:r>
        <w:rPr>
          <w:rStyle w:val="CommentReference"/>
        </w:rPr>
        <w:annotationRef/>
      </w:r>
      <w:r>
        <w:t>This is something Northrop has brought up repeatedly, I’m not sure it’s required.</w:t>
      </w:r>
      <w:r w:rsidR="005202DF">
        <w:t xml:space="preserve">  Interested in comments here.</w:t>
      </w:r>
      <w:r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52DCC0E" w15:done="0"/>
  <w15:commentEx w15:paraId="3D86DA5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2DCC0E" w16cid:durableId="2ACB7A2E"/>
  <w16cid:commentId w16cid:paraId="3D86DA5C" w16cid:durableId="2ACB79C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drew Hamilton">
    <w15:presenceInfo w15:providerId="AD" w15:userId="S-1-5-21-2020293289-1447888985-561332275-27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F3B"/>
    <w:rsid w:val="00123F84"/>
    <w:rsid w:val="00150195"/>
    <w:rsid w:val="002A4F3B"/>
    <w:rsid w:val="002F6033"/>
    <w:rsid w:val="003354A6"/>
    <w:rsid w:val="00416AE4"/>
    <w:rsid w:val="005202DF"/>
    <w:rsid w:val="00532A36"/>
    <w:rsid w:val="00620AC6"/>
    <w:rsid w:val="009136AD"/>
    <w:rsid w:val="00B974F4"/>
    <w:rsid w:val="00C4091C"/>
    <w:rsid w:val="00F2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F2DDE"/>
  <w15:chartTrackingRefBased/>
  <w15:docId w15:val="{B40B57B9-0409-4B16-8429-87DFDF649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23F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3F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3F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3F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3F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F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96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4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8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5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Hamilton</dc:creator>
  <cp:keywords/>
  <dc:description/>
  <cp:lastModifiedBy>Andrew Hamilton</cp:lastModifiedBy>
  <cp:revision>2</cp:revision>
  <dcterms:created xsi:type="dcterms:W3CDTF">2024-10-29T22:21:00Z</dcterms:created>
  <dcterms:modified xsi:type="dcterms:W3CDTF">2024-10-29T22:21:00Z</dcterms:modified>
</cp:coreProperties>
</file>