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1D0DF" w14:textId="3FE78B86" w:rsidR="00B525EF" w:rsidRPr="00D940EA" w:rsidRDefault="00D940EA" w:rsidP="00D940EA">
      <w:pPr>
        <w:jc w:val="center"/>
        <w:rPr>
          <w:b/>
          <w:bCs/>
          <w:sz w:val="26"/>
          <w:szCs w:val="26"/>
        </w:rPr>
      </w:pPr>
      <w:r w:rsidRPr="00D940EA">
        <w:rPr>
          <w:b/>
          <w:bCs/>
          <w:sz w:val="26"/>
          <w:szCs w:val="26"/>
        </w:rPr>
        <w:t>Technology Control Plan/Logistics – Micallef Shipment to Chile for Antarctic cruise</w:t>
      </w:r>
    </w:p>
    <w:p w14:paraId="4FC2F02D" w14:textId="77777777" w:rsidR="00D940EA" w:rsidRDefault="00D940EA" w:rsidP="00B525EF">
      <w:pPr>
        <w:spacing w:after="0" w:line="240" w:lineRule="auto"/>
        <w:rPr>
          <w:rFonts w:ascii="Calibri" w:eastAsia="Times New Roman" w:hAnsi="Calibri" w:cs="Calibri"/>
          <w:b/>
          <w:bCs/>
        </w:rPr>
      </w:pPr>
    </w:p>
    <w:p w14:paraId="3B36AD24" w14:textId="367F6142"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t>1. Overview of the Program</w:t>
      </w:r>
    </w:p>
    <w:p w14:paraId="3B9D0569" w14:textId="0484C7F7" w:rsidR="00B525EF" w:rsidRPr="001F1935" w:rsidRDefault="00B525EF" w:rsidP="00B525EF">
      <w:pPr>
        <w:spacing w:after="0" w:line="240" w:lineRule="auto"/>
        <w:rPr>
          <w:rFonts w:ascii="Calibri" w:eastAsia="Times New Roman" w:hAnsi="Calibri" w:cs="Calibri"/>
        </w:rPr>
      </w:pPr>
      <w:r w:rsidRPr="001F1935">
        <w:rPr>
          <w:rFonts w:ascii="Calibri" w:eastAsia="Times New Roman" w:hAnsi="Calibri" w:cs="Calibri"/>
        </w:rPr>
        <w:t xml:space="preserve">The FLAIR expedition is an international, non-commercial scientific research mission aimed at characterizing marine hydrogeological systems on the northern Antarctic Peninsula. The field program will take place from </w:t>
      </w:r>
      <w:r w:rsidRPr="001F1935">
        <w:rPr>
          <w:rFonts w:ascii="Calibri" w:eastAsia="Times New Roman" w:hAnsi="Calibri" w:cs="Calibri"/>
          <w:b/>
          <w:bCs/>
        </w:rPr>
        <w:t>20 January to 4 February 2026</w:t>
      </w:r>
      <w:r w:rsidRPr="001F1935">
        <w:rPr>
          <w:rFonts w:ascii="Calibri" w:eastAsia="Times New Roman" w:hAnsi="Calibri" w:cs="Calibri"/>
        </w:rPr>
        <w:t xml:space="preserve">, operating from </w:t>
      </w:r>
      <w:r w:rsidRPr="001F1935">
        <w:rPr>
          <w:rFonts w:ascii="Calibri" w:eastAsia="Times New Roman" w:hAnsi="Calibri" w:cs="Calibri"/>
          <w:i/>
          <w:iCs/>
        </w:rPr>
        <w:t xml:space="preserve">R/V </w:t>
      </w:r>
      <w:proofErr w:type="spellStart"/>
      <w:r w:rsidRPr="001F1935">
        <w:rPr>
          <w:rFonts w:ascii="Calibri" w:eastAsia="Times New Roman" w:hAnsi="Calibri" w:cs="Calibri"/>
          <w:i/>
          <w:iCs/>
        </w:rPr>
        <w:t>Hespérides</w:t>
      </w:r>
      <w:proofErr w:type="spellEnd"/>
      <w:r w:rsidRPr="001F1935">
        <w:rPr>
          <w:rFonts w:ascii="Calibri" w:eastAsia="Times New Roman" w:hAnsi="Calibri" w:cs="Calibri"/>
        </w:rPr>
        <w:t>. All exported commodities will be used solely for scientific data acquisition and sampling. No commercial, military, or dual-use operational application is involved.</w:t>
      </w:r>
      <w:r w:rsidR="00D940EA">
        <w:rPr>
          <w:rFonts w:ascii="Calibri" w:eastAsia="Times New Roman" w:hAnsi="Calibri" w:cs="Calibri"/>
        </w:rPr>
        <w:br/>
      </w:r>
    </w:p>
    <w:p w14:paraId="11E563FD" w14:textId="07C6B0D5"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t xml:space="preserve">2. Items to Be </w:t>
      </w:r>
      <w:r w:rsidR="00D940EA">
        <w:rPr>
          <w:rFonts w:ascii="Calibri" w:eastAsia="Times New Roman" w:hAnsi="Calibri" w:cs="Calibri"/>
          <w:b/>
          <w:bCs/>
        </w:rPr>
        <w:t>Shipped</w:t>
      </w:r>
    </w:p>
    <w:p w14:paraId="2839A865" w14:textId="77777777" w:rsidR="00B525EF" w:rsidRPr="001F1935" w:rsidRDefault="00B525EF" w:rsidP="00B525EF">
      <w:pPr>
        <w:spacing w:after="0" w:line="240" w:lineRule="auto"/>
        <w:rPr>
          <w:rFonts w:ascii="Calibri" w:eastAsia="Times New Roman" w:hAnsi="Calibri" w:cs="Calibri"/>
        </w:rPr>
      </w:pPr>
      <w:r w:rsidRPr="001F1935">
        <w:rPr>
          <w:rFonts w:ascii="Calibri" w:eastAsia="Times New Roman" w:hAnsi="Calibri" w:cs="Calibri"/>
        </w:rPr>
        <w:t>From the United States, the following item(s) will be exported:</w:t>
      </w:r>
    </w:p>
    <w:p w14:paraId="46FDE91B" w14:textId="0DD4C60D" w:rsidR="00B525EF" w:rsidRPr="001F1935" w:rsidRDefault="00B525EF" w:rsidP="00B525EF">
      <w:pPr>
        <w:numPr>
          <w:ilvl w:val="0"/>
          <w:numId w:val="2"/>
        </w:numPr>
        <w:spacing w:after="0" w:line="240" w:lineRule="auto"/>
        <w:rPr>
          <w:rFonts w:ascii="Calibri" w:eastAsia="Times New Roman" w:hAnsi="Calibri" w:cs="Calibri"/>
        </w:rPr>
      </w:pPr>
      <w:r w:rsidRPr="001F1935">
        <w:rPr>
          <w:rFonts w:ascii="Calibri" w:eastAsia="Times New Roman" w:hAnsi="Calibri" w:cs="Calibri"/>
          <w:b/>
          <w:bCs/>
        </w:rPr>
        <w:t>SWAN Controlled-Source Electromagnetic (CSEM) system</w:t>
      </w:r>
      <w:r w:rsidRPr="001F1935">
        <w:rPr>
          <w:rFonts w:ascii="Calibri" w:eastAsia="Times New Roman" w:hAnsi="Calibri" w:cs="Calibri"/>
        </w:rPr>
        <w:br/>
        <w:t>(Owned by University of Malta; includes transmitter, receiver nodes, cables, and associated control electronics.</w:t>
      </w:r>
      <w:r w:rsidR="00D940EA">
        <w:rPr>
          <w:rFonts w:ascii="Calibri" w:eastAsia="Times New Roman" w:hAnsi="Calibri" w:cs="Calibri"/>
        </w:rPr>
        <w:t xml:space="preserve"> Export-controlled items listed in table below.*</w:t>
      </w:r>
      <w:r w:rsidRPr="001F1935">
        <w:rPr>
          <w:rFonts w:ascii="Calibri" w:eastAsia="Times New Roman" w:hAnsi="Calibri" w:cs="Calibri"/>
        </w:rPr>
        <w:t>)</w:t>
      </w:r>
    </w:p>
    <w:p w14:paraId="15E4966A" w14:textId="77777777" w:rsidR="00B525EF" w:rsidRPr="007B5D73" w:rsidRDefault="00B525EF" w:rsidP="00B525EF">
      <w:pPr>
        <w:numPr>
          <w:ilvl w:val="0"/>
          <w:numId w:val="3"/>
        </w:numPr>
        <w:spacing w:after="0" w:line="240" w:lineRule="auto"/>
        <w:rPr>
          <w:rFonts w:ascii="Calibri" w:eastAsia="Times New Roman" w:hAnsi="Calibri" w:cs="Calibri"/>
          <w:lang w:val="it-IT"/>
        </w:rPr>
      </w:pPr>
      <w:r w:rsidRPr="007B5D73">
        <w:rPr>
          <w:rFonts w:ascii="Calibri" w:eastAsia="Times New Roman" w:hAnsi="Calibri" w:cs="Calibri"/>
          <w:b/>
          <w:bCs/>
          <w:lang w:val="it-IT"/>
        </w:rPr>
        <w:t>SARAD RTM 1688-2 radon monitor</w:t>
      </w:r>
      <w:r w:rsidRPr="007B5D73">
        <w:rPr>
          <w:rFonts w:ascii="Calibri" w:eastAsia="Times New Roman" w:hAnsi="Calibri" w:cs="Calibri"/>
          <w:lang w:val="it-IT"/>
        </w:rPr>
        <w:t xml:space="preserve"> (non-ITAR, non-ECCN)</w:t>
      </w:r>
    </w:p>
    <w:p w14:paraId="2353C3BB" w14:textId="77777777" w:rsidR="00D940EA" w:rsidRDefault="00B525EF" w:rsidP="00B525EF">
      <w:pPr>
        <w:numPr>
          <w:ilvl w:val="0"/>
          <w:numId w:val="3"/>
        </w:numPr>
        <w:spacing w:after="0" w:line="240" w:lineRule="auto"/>
        <w:rPr>
          <w:rFonts w:ascii="Calibri" w:eastAsia="Times New Roman" w:hAnsi="Calibri" w:cs="Calibri"/>
        </w:rPr>
      </w:pPr>
      <w:r w:rsidRPr="001F1935">
        <w:rPr>
          <w:rFonts w:ascii="Calibri" w:eastAsia="Times New Roman" w:hAnsi="Calibri" w:cs="Calibri"/>
          <w:b/>
          <w:bCs/>
        </w:rPr>
        <w:t>Ancillary scientific materials</w:t>
      </w:r>
      <w:r w:rsidRPr="001F1935">
        <w:rPr>
          <w:rFonts w:ascii="Calibri" w:eastAsia="Times New Roman" w:hAnsi="Calibri" w:cs="Calibri"/>
        </w:rPr>
        <w:t xml:space="preserve"> (e.g., small sensors, sampling equipment)</w:t>
      </w:r>
      <w:r w:rsidR="00D940EA">
        <w:rPr>
          <w:rFonts w:ascii="Calibri" w:eastAsia="Times New Roman" w:hAnsi="Calibri" w:cs="Calibri"/>
        </w:rPr>
        <w:br/>
      </w:r>
      <w:r w:rsidR="00D940EA">
        <w:rPr>
          <w:rFonts w:ascii="Calibri" w:eastAsia="Times New Roman" w:hAnsi="Calibri" w:cs="Calibri"/>
        </w:rPr>
        <w:br/>
      </w:r>
    </w:p>
    <w:tbl>
      <w:tblPr>
        <w:tblW w:w="9843" w:type="dxa"/>
        <w:tblLook w:val="04A0" w:firstRow="1" w:lastRow="0" w:firstColumn="1" w:lastColumn="0" w:noHBand="0" w:noVBand="1"/>
      </w:tblPr>
      <w:tblGrid>
        <w:gridCol w:w="4905"/>
        <w:gridCol w:w="1646"/>
        <w:gridCol w:w="1646"/>
        <w:gridCol w:w="1646"/>
      </w:tblGrid>
      <w:tr w:rsidR="00D940EA" w:rsidRPr="00B525EF" w14:paraId="35E21331" w14:textId="77777777" w:rsidTr="00D940EA">
        <w:trPr>
          <w:trHeight w:val="257"/>
        </w:trPr>
        <w:tc>
          <w:tcPr>
            <w:tcW w:w="4905" w:type="dxa"/>
            <w:tcBorders>
              <w:top w:val="nil"/>
              <w:left w:val="nil"/>
              <w:bottom w:val="nil"/>
              <w:right w:val="nil"/>
            </w:tcBorders>
            <w:noWrap/>
            <w:vAlign w:val="bottom"/>
            <w:hideMark/>
          </w:tcPr>
          <w:p w14:paraId="5F88A922" w14:textId="47E39EBA"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w:t>
            </w:r>
            <w:r w:rsidRPr="00B525EF">
              <w:rPr>
                <w:rFonts w:ascii="Calibri" w:eastAsia="Times New Roman" w:hAnsi="Calibri" w:cs="Calibri"/>
                <w:color w:val="000000"/>
                <w:kern w:val="0"/>
                <w:sz w:val="22"/>
                <w:szCs w:val="22"/>
                <w14:ligatures w14:val="none"/>
              </w:rPr>
              <w:t>SWAN System (CSEM)</w:t>
            </w:r>
          </w:p>
        </w:tc>
        <w:tc>
          <w:tcPr>
            <w:tcW w:w="1646" w:type="dxa"/>
            <w:tcBorders>
              <w:top w:val="nil"/>
              <w:left w:val="nil"/>
              <w:bottom w:val="nil"/>
              <w:right w:val="nil"/>
            </w:tcBorders>
            <w:noWrap/>
            <w:vAlign w:val="bottom"/>
            <w:hideMark/>
          </w:tcPr>
          <w:p w14:paraId="18CD7324"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p>
        </w:tc>
        <w:tc>
          <w:tcPr>
            <w:tcW w:w="1646" w:type="dxa"/>
            <w:tcBorders>
              <w:top w:val="nil"/>
              <w:left w:val="nil"/>
              <w:bottom w:val="nil"/>
              <w:right w:val="nil"/>
            </w:tcBorders>
            <w:noWrap/>
            <w:vAlign w:val="bottom"/>
            <w:hideMark/>
          </w:tcPr>
          <w:p w14:paraId="1CC6F43D" w14:textId="77777777" w:rsidR="00D940EA" w:rsidRPr="00B525EF" w:rsidRDefault="00D940EA" w:rsidP="00291F14">
            <w:pPr>
              <w:spacing w:after="0" w:line="240" w:lineRule="auto"/>
              <w:rPr>
                <w:rFonts w:ascii="Times New Roman" w:eastAsia="Times New Roman" w:hAnsi="Times New Roman" w:cs="Times New Roman"/>
                <w:kern w:val="0"/>
                <w:sz w:val="20"/>
                <w:szCs w:val="20"/>
                <w14:ligatures w14:val="none"/>
              </w:rPr>
            </w:pPr>
          </w:p>
        </w:tc>
        <w:tc>
          <w:tcPr>
            <w:tcW w:w="1646" w:type="dxa"/>
            <w:tcBorders>
              <w:top w:val="nil"/>
              <w:left w:val="nil"/>
              <w:bottom w:val="nil"/>
              <w:right w:val="nil"/>
            </w:tcBorders>
            <w:noWrap/>
            <w:vAlign w:val="bottom"/>
            <w:hideMark/>
          </w:tcPr>
          <w:p w14:paraId="17947891" w14:textId="77777777" w:rsidR="00D940EA" w:rsidRPr="00B525EF" w:rsidRDefault="00D940EA" w:rsidP="00291F14">
            <w:pPr>
              <w:spacing w:after="0" w:line="240" w:lineRule="auto"/>
              <w:rPr>
                <w:rFonts w:ascii="Times New Roman" w:eastAsia="Times New Roman" w:hAnsi="Times New Roman" w:cs="Times New Roman"/>
                <w:kern w:val="0"/>
                <w:sz w:val="20"/>
                <w:szCs w:val="20"/>
                <w14:ligatures w14:val="none"/>
              </w:rPr>
            </w:pPr>
          </w:p>
        </w:tc>
      </w:tr>
      <w:tr w:rsidR="00D940EA" w:rsidRPr="00B525EF" w14:paraId="100767BF" w14:textId="77777777" w:rsidTr="00D940EA">
        <w:trPr>
          <w:trHeight w:val="257"/>
        </w:trPr>
        <w:tc>
          <w:tcPr>
            <w:tcW w:w="4905" w:type="dxa"/>
            <w:vMerge w:val="restart"/>
            <w:tcBorders>
              <w:top w:val="single" w:sz="4" w:space="0" w:color="auto"/>
              <w:left w:val="single" w:sz="4" w:space="0" w:color="auto"/>
              <w:bottom w:val="single" w:sz="4" w:space="0" w:color="auto"/>
              <w:right w:val="single" w:sz="4" w:space="0" w:color="auto"/>
            </w:tcBorders>
            <w:shd w:val="clear" w:color="000000" w:fill="31869B"/>
            <w:noWrap/>
            <w:vAlign w:val="center"/>
            <w:hideMark/>
          </w:tcPr>
          <w:p w14:paraId="3D070156" w14:textId="77777777" w:rsidR="00D940EA" w:rsidRPr="00B525EF" w:rsidRDefault="00D940EA" w:rsidP="00291F14">
            <w:pPr>
              <w:spacing w:after="0" w:line="240" w:lineRule="auto"/>
              <w:jc w:val="center"/>
              <w:rPr>
                <w:rFonts w:ascii="Calibri" w:eastAsia="Times New Roman" w:hAnsi="Calibri" w:cs="Calibri"/>
                <w:b/>
                <w:bCs/>
                <w:color w:val="FFFFFF"/>
                <w:kern w:val="0"/>
                <w:sz w:val="22"/>
                <w:szCs w:val="22"/>
                <w14:ligatures w14:val="none"/>
              </w:rPr>
            </w:pPr>
            <w:r w:rsidRPr="00B525EF">
              <w:rPr>
                <w:rFonts w:ascii="Calibri" w:eastAsia="Times New Roman" w:hAnsi="Calibri" w:cs="Calibri"/>
                <w:b/>
                <w:bCs/>
                <w:color w:val="FFFFFF"/>
                <w:kern w:val="0"/>
                <w:sz w:val="22"/>
                <w:szCs w:val="22"/>
                <w14:ligatures w14:val="none"/>
              </w:rPr>
              <w:t>Item Description</w:t>
            </w:r>
          </w:p>
        </w:tc>
        <w:tc>
          <w:tcPr>
            <w:tcW w:w="1646" w:type="dxa"/>
            <w:vMerge w:val="restart"/>
            <w:tcBorders>
              <w:top w:val="single" w:sz="4" w:space="0" w:color="auto"/>
              <w:left w:val="single" w:sz="4" w:space="0" w:color="auto"/>
              <w:bottom w:val="single" w:sz="4" w:space="0" w:color="auto"/>
              <w:right w:val="single" w:sz="4" w:space="0" w:color="auto"/>
            </w:tcBorders>
            <w:shd w:val="clear" w:color="000000" w:fill="31869B"/>
            <w:noWrap/>
            <w:vAlign w:val="center"/>
            <w:hideMark/>
          </w:tcPr>
          <w:p w14:paraId="50CB2578" w14:textId="77777777" w:rsidR="00D940EA" w:rsidRPr="00B525EF" w:rsidRDefault="00D940EA" w:rsidP="00291F14">
            <w:pPr>
              <w:spacing w:after="0" w:line="240" w:lineRule="auto"/>
              <w:jc w:val="center"/>
              <w:rPr>
                <w:rFonts w:ascii="Calibri" w:eastAsia="Times New Roman" w:hAnsi="Calibri" w:cs="Calibri"/>
                <w:b/>
                <w:bCs/>
                <w:color w:val="FFFFFF"/>
                <w:kern w:val="0"/>
                <w:sz w:val="22"/>
                <w:szCs w:val="22"/>
                <w14:ligatures w14:val="none"/>
              </w:rPr>
            </w:pPr>
            <w:r w:rsidRPr="00B525EF">
              <w:rPr>
                <w:rFonts w:ascii="Calibri" w:eastAsia="Times New Roman" w:hAnsi="Calibri" w:cs="Calibri"/>
                <w:b/>
                <w:bCs/>
                <w:color w:val="FFFFFF"/>
                <w:kern w:val="0"/>
                <w:sz w:val="22"/>
                <w:szCs w:val="22"/>
                <w14:ligatures w14:val="none"/>
              </w:rPr>
              <w:t>ECCN</w:t>
            </w:r>
          </w:p>
        </w:tc>
        <w:tc>
          <w:tcPr>
            <w:tcW w:w="3292" w:type="dxa"/>
            <w:gridSpan w:val="2"/>
            <w:tcBorders>
              <w:top w:val="single" w:sz="4" w:space="0" w:color="auto"/>
              <w:left w:val="nil"/>
              <w:bottom w:val="nil"/>
              <w:right w:val="nil"/>
            </w:tcBorders>
            <w:shd w:val="clear" w:color="000000" w:fill="31869B"/>
            <w:noWrap/>
            <w:vAlign w:val="center"/>
            <w:hideMark/>
          </w:tcPr>
          <w:p w14:paraId="1C6955A5" w14:textId="77777777" w:rsidR="00D940EA" w:rsidRPr="00B525EF" w:rsidRDefault="00D940EA" w:rsidP="00291F14">
            <w:pPr>
              <w:spacing w:after="0" w:line="240" w:lineRule="auto"/>
              <w:jc w:val="center"/>
              <w:rPr>
                <w:rFonts w:ascii="Calibri" w:eastAsia="Times New Roman" w:hAnsi="Calibri" w:cs="Calibri"/>
                <w:b/>
                <w:bCs/>
                <w:color w:val="FFFFFF"/>
                <w:kern w:val="0"/>
                <w:sz w:val="22"/>
                <w:szCs w:val="22"/>
                <w14:ligatures w14:val="none"/>
              </w:rPr>
            </w:pPr>
            <w:r w:rsidRPr="00B525EF">
              <w:rPr>
                <w:rFonts w:ascii="Calibri" w:eastAsia="Times New Roman" w:hAnsi="Calibri" w:cs="Calibri"/>
                <w:b/>
                <w:bCs/>
                <w:color w:val="FFFFFF"/>
                <w:kern w:val="0"/>
                <w:sz w:val="22"/>
                <w:szCs w:val="22"/>
                <w14:ligatures w14:val="none"/>
              </w:rPr>
              <w:t>Control</w:t>
            </w:r>
          </w:p>
        </w:tc>
      </w:tr>
      <w:tr w:rsidR="00D940EA" w:rsidRPr="00B525EF" w14:paraId="20748F72" w14:textId="77777777" w:rsidTr="00D940EA">
        <w:trPr>
          <w:trHeight w:val="257"/>
        </w:trPr>
        <w:tc>
          <w:tcPr>
            <w:tcW w:w="4905" w:type="dxa"/>
            <w:vMerge/>
            <w:tcBorders>
              <w:top w:val="single" w:sz="4" w:space="0" w:color="auto"/>
              <w:left w:val="single" w:sz="4" w:space="0" w:color="auto"/>
              <w:bottom w:val="single" w:sz="4" w:space="0" w:color="auto"/>
              <w:right w:val="single" w:sz="4" w:space="0" w:color="auto"/>
            </w:tcBorders>
            <w:vAlign w:val="center"/>
            <w:hideMark/>
          </w:tcPr>
          <w:p w14:paraId="0723C4D6" w14:textId="77777777" w:rsidR="00D940EA" w:rsidRPr="00B525EF" w:rsidRDefault="00D940EA" w:rsidP="00291F14">
            <w:pPr>
              <w:spacing w:after="0" w:line="240" w:lineRule="auto"/>
              <w:rPr>
                <w:rFonts w:ascii="Calibri" w:eastAsia="Times New Roman" w:hAnsi="Calibri" w:cs="Calibri"/>
                <w:b/>
                <w:bCs/>
                <w:color w:val="FFFFFF"/>
                <w:kern w:val="0"/>
                <w:sz w:val="22"/>
                <w:szCs w:val="22"/>
                <w14:ligatures w14:val="none"/>
              </w:rPr>
            </w:pPr>
          </w:p>
        </w:tc>
        <w:tc>
          <w:tcPr>
            <w:tcW w:w="1646" w:type="dxa"/>
            <w:vMerge/>
            <w:tcBorders>
              <w:top w:val="single" w:sz="4" w:space="0" w:color="auto"/>
              <w:left w:val="single" w:sz="4" w:space="0" w:color="auto"/>
              <w:bottom w:val="single" w:sz="4" w:space="0" w:color="auto"/>
              <w:right w:val="single" w:sz="4" w:space="0" w:color="auto"/>
            </w:tcBorders>
            <w:vAlign w:val="center"/>
            <w:hideMark/>
          </w:tcPr>
          <w:p w14:paraId="0242ECEF" w14:textId="77777777" w:rsidR="00D940EA" w:rsidRPr="00B525EF" w:rsidRDefault="00D940EA" w:rsidP="00291F14">
            <w:pPr>
              <w:spacing w:after="0" w:line="240" w:lineRule="auto"/>
              <w:rPr>
                <w:rFonts w:ascii="Calibri" w:eastAsia="Times New Roman" w:hAnsi="Calibri" w:cs="Calibri"/>
                <w:b/>
                <w:bCs/>
                <w:color w:val="FFFFFF"/>
                <w:kern w:val="0"/>
                <w:sz w:val="22"/>
                <w:szCs w:val="22"/>
                <w14:ligatures w14:val="none"/>
              </w:rPr>
            </w:pPr>
          </w:p>
        </w:tc>
        <w:tc>
          <w:tcPr>
            <w:tcW w:w="1646" w:type="dxa"/>
            <w:tcBorders>
              <w:top w:val="nil"/>
              <w:left w:val="nil"/>
              <w:bottom w:val="single" w:sz="4" w:space="0" w:color="auto"/>
              <w:right w:val="single" w:sz="4" w:space="0" w:color="auto"/>
            </w:tcBorders>
            <w:shd w:val="clear" w:color="000000" w:fill="31869B"/>
            <w:noWrap/>
            <w:vAlign w:val="center"/>
            <w:hideMark/>
          </w:tcPr>
          <w:p w14:paraId="5C884039" w14:textId="77777777" w:rsidR="00D940EA" w:rsidRPr="00B525EF" w:rsidRDefault="00D940EA" w:rsidP="00291F14">
            <w:pPr>
              <w:spacing w:after="0" w:line="240" w:lineRule="auto"/>
              <w:jc w:val="center"/>
              <w:rPr>
                <w:rFonts w:ascii="Calibri" w:eastAsia="Times New Roman" w:hAnsi="Calibri" w:cs="Calibri"/>
                <w:b/>
                <w:bCs/>
                <w:color w:val="FFFFFF"/>
                <w:kern w:val="0"/>
                <w:sz w:val="22"/>
                <w:szCs w:val="22"/>
                <w14:ligatures w14:val="none"/>
              </w:rPr>
            </w:pPr>
            <w:r w:rsidRPr="00B525EF">
              <w:rPr>
                <w:rFonts w:ascii="Calibri" w:eastAsia="Times New Roman" w:hAnsi="Calibri" w:cs="Calibri"/>
                <w:b/>
                <w:bCs/>
                <w:color w:val="FFFFFF"/>
                <w:kern w:val="0"/>
                <w:sz w:val="22"/>
                <w:szCs w:val="22"/>
                <w14:ligatures w14:val="none"/>
              </w:rPr>
              <w:t>Malta</w:t>
            </w:r>
          </w:p>
        </w:tc>
        <w:tc>
          <w:tcPr>
            <w:tcW w:w="1646" w:type="dxa"/>
            <w:tcBorders>
              <w:top w:val="nil"/>
              <w:left w:val="nil"/>
              <w:bottom w:val="single" w:sz="4" w:space="0" w:color="auto"/>
              <w:right w:val="single" w:sz="4" w:space="0" w:color="auto"/>
            </w:tcBorders>
            <w:shd w:val="clear" w:color="000000" w:fill="31869B"/>
            <w:noWrap/>
            <w:vAlign w:val="center"/>
            <w:hideMark/>
          </w:tcPr>
          <w:p w14:paraId="7214BBC6" w14:textId="77777777" w:rsidR="00D940EA" w:rsidRPr="00B525EF" w:rsidRDefault="00D940EA" w:rsidP="00291F14">
            <w:pPr>
              <w:spacing w:after="0" w:line="240" w:lineRule="auto"/>
              <w:jc w:val="center"/>
              <w:rPr>
                <w:rFonts w:ascii="Calibri" w:eastAsia="Times New Roman" w:hAnsi="Calibri" w:cs="Calibri"/>
                <w:b/>
                <w:bCs/>
                <w:color w:val="FFFFFF"/>
                <w:kern w:val="0"/>
                <w:sz w:val="22"/>
                <w:szCs w:val="22"/>
                <w14:ligatures w14:val="none"/>
              </w:rPr>
            </w:pPr>
            <w:r w:rsidRPr="00B525EF">
              <w:rPr>
                <w:rFonts w:ascii="Calibri" w:eastAsia="Times New Roman" w:hAnsi="Calibri" w:cs="Calibri"/>
                <w:b/>
                <w:bCs/>
                <w:color w:val="FFFFFF"/>
                <w:kern w:val="0"/>
                <w:sz w:val="22"/>
                <w:szCs w:val="22"/>
                <w14:ligatures w14:val="none"/>
              </w:rPr>
              <w:t>Chile</w:t>
            </w:r>
          </w:p>
        </w:tc>
      </w:tr>
      <w:tr w:rsidR="00D940EA" w:rsidRPr="00B525EF" w14:paraId="06A89D73" w14:textId="77777777" w:rsidTr="00D940EA">
        <w:trPr>
          <w:trHeight w:val="257"/>
        </w:trPr>
        <w:tc>
          <w:tcPr>
            <w:tcW w:w="4905" w:type="dxa"/>
            <w:tcBorders>
              <w:top w:val="nil"/>
              <w:left w:val="single" w:sz="4" w:space="0" w:color="auto"/>
              <w:bottom w:val="single" w:sz="4" w:space="0" w:color="auto"/>
              <w:right w:val="single" w:sz="4" w:space="0" w:color="auto"/>
            </w:tcBorders>
            <w:noWrap/>
            <w:vAlign w:val="bottom"/>
            <w:hideMark/>
          </w:tcPr>
          <w:p w14:paraId="32AFCD46"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proofErr w:type="spellStart"/>
            <w:r w:rsidRPr="00B525EF">
              <w:rPr>
                <w:rFonts w:ascii="Calibri" w:eastAsia="Times New Roman" w:hAnsi="Calibri" w:cs="Calibri"/>
                <w:color w:val="000000"/>
                <w:kern w:val="0"/>
                <w:sz w:val="22"/>
                <w:szCs w:val="22"/>
                <w14:ligatures w14:val="none"/>
              </w:rPr>
              <w:t>Magson</w:t>
            </w:r>
            <w:proofErr w:type="spellEnd"/>
            <w:r w:rsidRPr="00B525EF">
              <w:rPr>
                <w:rFonts w:ascii="Calibri" w:eastAsia="Times New Roman" w:hAnsi="Calibri" w:cs="Calibri"/>
                <w:color w:val="000000"/>
                <w:kern w:val="0"/>
                <w:sz w:val="22"/>
                <w:szCs w:val="22"/>
                <w14:ligatures w14:val="none"/>
              </w:rPr>
              <w:t xml:space="preserve"> Amir </w:t>
            </w:r>
            <w:proofErr w:type="spellStart"/>
            <w:r w:rsidRPr="00B525EF">
              <w:rPr>
                <w:rFonts w:ascii="Calibri" w:eastAsia="Times New Roman" w:hAnsi="Calibri" w:cs="Calibri"/>
                <w:color w:val="000000"/>
                <w:kern w:val="0"/>
                <w:sz w:val="22"/>
                <w:szCs w:val="22"/>
                <w14:ligatures w14:val="none"/>
              </w:rPr>
              <w:t>Selfpot</w:t>
            </w:r>
            <w:proofErr w:type="spellEnd"/>
            <w:r w:rsidRPr="00B525EF">
              <w:rPr>
                <w:rFonts w:ascii="Calibri" w:eastAsia="Times New Roman" w:hAnsi="Calibri" w:cs="Calibri"/>
                <w:color w:val="000000"/>
                <w:kern w:val="0"/>
                <w:sz w:val="22"/>
                <w:szCs w:val="22"/>
                <w14:ligatures w14:val="none"/>
              </w:rPr>
              <w:t xml:space="preserve"> Logger</w:t>
            </w:r>
          </w:p>
        </w:tc>
        <w:tc>
          <w:tcPr>
            <w:tcW w:w="1646" w:type="dxa"/>
            <w:tcBorders>
              <w:top w:val="nil"/>
              <w:left w:val="nil"/>
              <w:bottom w:val="single" w:sz="4" w:space="0" w:color="auto"/>
              <w:right w:val="single" w:sz="4" w:space="0" w:color="auto"/>
            </w:tcBorders>
            <w:noWrap/>
            <w:vAlign w:val="bottom"/>
            <w:hideMark/>
          </w:tcPr>
          <w:p w14:paraId="1D62CD80"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EAR99</w:t>
            </w:r>
          </w:p>
        </w:tc>
        <w:tc>
          <w:tcPr>
            <w:tcW w:w="1646" w:type="dxa"/>
            <w:tcBorders>
              <w:top w:val="nil"/>
              <w:left w:val="nil"/>
              <w:bottom w:val="single" w:sz="4" w:space="0" w:color="auto"/>
              <w:right w:val="single" w:sz="4" w:space="0" w:color="auto"/>
            </w:tcBorders>
            <w:noWrap/>
            <w:vAlign w:val="bottom"/>
            <w:hideMark/>
          </w:tcPr>
          <w:p w14:paraId="72725D85"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 </w:t>
            </w:r>
          </w:p>
        </w:tc>
        <w:tc>
          <w:tcPr>
            <w:tcW w:w="1646" w:type="dxa"/>
            <w:tcBorders>
              <w:top w:val="nil"/>
              <w:left w:val="nil"/>
              <w:bottom w:val="single" w:sz="4" w:space="0" w:color="auto"/>
              <w:right w:val="single" w:sz="4" w:space="0" w:color="auto"/>
            </w:tcBorders>
            <w:noWrap/>
            <w:vAlign w:val="bottom"/>
            <w:hideMark/>
          </w:tcPr>
          <w:p w14:paraId="287AB619"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 </w:t>
            </w:r>
          </w:p>
        </w:tc>
      </w:tr>
      <w:tr w:rsidR="00D940EA" w:rsidRPr="00B525EF" w14:paraId="0679C14E" w14:textId="77777777" w:rsidTr="00D940EA">
        <w:trPr>
          <w:trHeight w:val="257"/>
        </w:trPr>
        <w:tc>
          <w:tcPr>
            <w:tcW w:w="4905" w:type="dxa"/>
            <w:tcBorders>
              <w:top w:val="nil"/>
              <w:left w:val="single" w:sz="4" w:space="0" w:color="auto"/>
              <w:bottom w:val="single" w:sz="4" w:space="0" w:color="auto"/>
              <w:right w:val="single" w:sz="4" w:space="0" w:color="auto"/>
            </w:tcBorders>
            <w:noWrap/>
            <w:vAlign w:val="bottom"/>
            <w:hideMark/>
          </w:tcPr>
          <w:p w14:paraId="0DACF961"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 xml:space="preserve">SWAN </w:t>
            </w:r>
            <w:proofErr w:type="spellStart"/>
            <w:r w:rsidRPr="00B525EF">
              <w:rPr>
                <w:rFonts w:ascii="Calibri" w:eastAsia="Times New Roman" w:hAnsi="Calibri" w:cs="Calibri"/>
                <w:color w:val="000000"/>
                <w:kern w:val="0"/>
                <w:sz w:val="22"/>
                <w:szCs w:val="22"/>
                <w14:ligatures w14:val="none"/>
              </w:rPr>
              <w:t>Silvion</w:t>
            </w:r>
            <w:proofErr w:type="spellEnd"/>
            <w:r w:rsidRPr="00B525EF">
              <w:rPr>
                <w:rFonts w:ascii="Calibri" w:eastAsia="Times New Roman" w:hAnsi="Calibri" w:cs="Calibri"/>
                <w:color w:val="000000"/>
                <w:kern w:val="0"/>
                <w:sz w:val="22"/>
                <w:szCs w:val="22"/>
                <w14:ligatures w14:val="none"/>
              </w:rPr>
              <w:t xml:space="preserve"> CSS1 Port</w:t>
            </w:r>
          </w:p>
        </w:tc>
        <w:tc>
          <w:tcPr>
            <w:tcW w:w="1646" w:type="dxa"/>
            <w:tcBorders>
              <w:top w:val="nil"/>
              <w:left w:val="nil"/>
              <w:bottom w:val="single" w:sz="4" w:space="0" w:color="auto"/>
              <w:right w:val="single" w:sz="4" w:space="0" w:color="auto"/>
            </w:tcBorders>
            <w:noWrap/>
            <w:vAlign w:val="bottom"/>
            <w:hideMark/>
          </w:tcPr>
          <w:p w14:paraId="3FE7C558"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6A006.b</w:t>
            </w:r>
          </w:p>
        </w:tc>
        <w:tc>
          <w:tcPr>
            <w:tcW w:w="1646" w:type="dxa"/>
            <w:tcBorders>
              <w:top w:val="nil"/>
              <w:left w:val="nil"/>
              <w:bottom w:val="single" w:sz="4" w:space="0" w:color="auto"/>
              <w:right w:val="single" w:sz="4" w:space="0" w:color="auto"/>
            </w:tcBorders>
            <w:noWrap/>
            <w:vAlign w:val="bottom"/>
            <w:hideMark/>
          </w:tcPr>
          <w:p w14:paraId="398AA945"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NS2 (AT1 - N/A)</w:t>
            </w:r>
          </w:p>
        </w:tc>
        <w:tc>
          <w:tcPr>
            <w:tcW w:w="1646" w:type="dxa"/>
            <w:tcBorders>
              <w:top w:val="nil"/>
              <w:left w:val="nil"/>
              <w:bottom w:val="single" w:sz="4" w:space="0" w:color="auto"/>
              <w:right w:val="single" w:sz="4" w:space="0" w:color="auto"/>
            </w:tcBorders>
            <w:noWrap/>
            <w:vAlign w:val="bottom"/>
            <w:hideMark/>
          </w:tcPr>
          <w:p w14:paraId="178C8FEA"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NS2 (AT1 - N/A)</w:t>
            </w:r>
          </w:p>
        </w:tc>
      </w:tr>
      <w:tr w:rsidR="00D940EA" w:rsidRPr="00B525EF" w14:paraId="7D661F8B" w14:textId="77777777" w:rsidTr="00D940EA">
        <w:trPr>
          <w:trHeight w:val="257"/>
        </w:trPr>
        <w:tc>
          <w:tcPr>
            <w:tcW w:w="4905" w:type="dxa"/>
            <w:tcBorders>
              <w:top w:val="nil"/>
              <w:left w:val="single" w:sz="4" w:space="0" w:color="auto"/>
              <w:bottom w:val="single" w:sz="4" w:space="0" w:color="auto"/>
              <w:right w:val="single" w:sz="4" w:space="0" w:color="auto"/>
            </w:tcBorders>
            <w:noWrap/>
            <w:vAlign w:val="bottom"/>
            <w:hideMark/>
          </w:tcPr>
          <w:p w14:paraId="07F970C8"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proofErr w:type="spellStart"/>
            <w:r w:rsidRPr="00B525EF">
              <w:rPr>
                <w:rFonts w:ascii="Calibri" w:eastAsia="Times New Roman" w:hAnsi="Calibri" w:cs="Calibri"/>
                <w:color w:val="000000"/>
                <w:kern w:val="0"/>
                <w:sz w:val="22"/>
                <w:szCs w:val="22"/>
                <w14:ligatures w14:val="none"/>
              </w:rPr>
              <w:t>Zonge</w:t>
            </w:r>
            <w:proofErr w:type="spellEnd"/>
            <w:r w:rsidRPr="00B525EF">
              <w:rPr>
                <w:rFonts w:ascii="Calibri" w:eastAsia="Times New Roman" w:hAnsi="Calibri" w:cs="Calibri"/>
                <w:color w:val="000000"/>
                <w:kern w:val="0"/>
                <w:sz w:val="22"/>
                <w:szCs w:val="22"/>
                <w14:ligatures w14:val="none"/>
              </w:rPr>
              <w:t xml:space="preserve"> Transmitter</w:t>
            </w:r>
          </w:p>
        </w:tc>
        <w:tc>
          <w:tcPr>
            <w:tcW w:w="1646" w:type="dxa"/>
            <w:tcBorders>
              <w:top w:val="nil"/>
              <w:left w:val="nil"/>
              <w:bottom w:val="single" w:sz="4" w:space="0" w:color="auto"/>
              <w:right w:val="single" w:sz="4" w:space="0" w:color="auto"/>
            </w:tcBorders>
            <w:noWrap/>
            <w:vAlign w:val="bottom"/>
            <w:hideMark/>
          </w:tcPr>
          <w:p w14:paraId="076858EA"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EAR99</w:t>
            </w:r>
          </w:p>
        </w:tc>
        <w:tc>
          <w:tcPr>
            <w:tcW w:w="1646" w:type="dxa"/>
            <w:tcBorders>
              <w:top w:val="nil"/>
              <w:left w:val="nil"/>
              <w:bottom w:val="single" w:sz="4" w:space="0" w:color="auto"/>
              <w:right w:val="single" w:sz="4" w:space="0" w:color="auto"/>
            </w:tcBorders>
            <w:noWrap/>
            <w:vAlign w:val="bottom"/>
            <w:hideMark/>
          </w:tcPr>
          <w:p w14:paraId="4927BB96"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 </w:t>
            </w:r>
          </w:p>
        </w:tc>
        <w:tc>
          <w:tcPr>
            <w:tcW w:w="1646" w:type="dxa"/>
            <w:tcBorders>
              <w:top w:val="nil"/>
              <w:left w:val="nil"/>
              <w:bottom w:val="single" w:sz="4" w:space="0" w:color="auto"/>
              <w:right w:val="single" w:sz="4" w:space="0" w:color="auto"/>
            </w:tcBorders>
            <w:noWrap/>
            <w:vAlign w:val="bottom"/>
            <w:hideMark/>
          </w:tcPr>
          <w:p w14:paraId="14543446"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 </w:t>
            </w:r>
          </w:p>
        </w:tc>
      </w:tr>
      <w:tr w:rsidR="00D940EA" w:rsidRPr="00B525EF" w14:paraId="32A0CC94" w14:textId="77777777" w:rsidTr="00D940EA">
        <w:trPr>
          <w:trHeight w:val="257"/>
        </w:trPr>
        <w:tc>
          <w:tcPr>
            <w:tcW w:w="4905" w:type="dxa"/>
            <w:tcBorders>
              <w:top w:val="nil"/>
              <w:left w:val="single" w:sz="4" w:space="0" w:color="auto"/>
              <w:bottom w:val="single" w:sz="4" w:space="0" w:color="auto"/>
              <w:right w:val="single" w:sz="4" w:space="0" w:color="auto"/>
            </w:tcBorders>
            <w:noWrap/>
            <w:vAlign w:val="bottom"/>
            <w:hideMark/>
          </w:tcPr>
          <w:p w14:paraId="51D50797" w14:textId="77777777" w:rsidR="00D940EA" w:rsidRPr="00B525EF" w:rsidRDefault="00D940EA" w:rsidP="00291F14">
            <w:pPr>
              <w:spacing w:after="0" w:line="240" w:lineRule="auto"/>
              <w:rPr>
                <w:rFonts w:ascii="Calibri" w:eastAsia="Times New Roman" w:hAnsi="Calibri" w:cs="Calibri"/>
                <w:kern w:val="0"/>
                <w:sz w:val="22"/>
                <w:szCs w:val="22"/>
                <w14:ligatures w14:val="none"/>
              </w:rPr>
            </w:pPr>
            <w:r w:rsidRPr="00B525EF">
              <w:rPr>
                <w:rFonts w:ascii="Calibri" w:eastAsia="Times New Roman" w:hAnsi="Calibri" w:cs="Calibri"/>
                <w:kern w:val="0"/>
                <w:sz w:val="22"/>
                <w:szCs w:val="22"/>
                <w14:ligatures w14:val="none"/>
              </w:rPr>
              <w:t>Columbus P-10 Pro GPS Unit</w:t>
            </w:r>
          </w:p>
        </w:tc>
        <w:tc>
          <w:tcPr>
            <w:tcW w:w="1646" w:type="dxa"/>
            <w:tcBorders>
              <w:top w:val="nil"/>
              <w:left w:val="nil"/>
              <w:bottom w:val="single" w:sz="4" w:space="0" w:color="auto"/>
              <w:right w:val="single" w:sz="4" w:space="0" w:color="auto"/>
            </w:tcBorders>
            <w:noWrap/>
            <w:vAlign w:val="bottom"/>
            <w:hideMark/>
          </w:tcPr>
          <w:p w14:paraId="7490FB80"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7A994</w:t>
            </w:r>
          </w:p>
        </w:tc>
        <w:tc>
          <w:tcPr>
            <w:tcW w:w="1646" w:type="dxa"/>
            <w:tcBorders>
              <w:top w:val="nil"/>
              <w:left w:val="nil"/>
              <w:bottom w:val="single" w:sz="4" w:space="0" w:color="auto"/>
              <w:right w:val="single" w:sz="4" w:space="0" w:color="auto"/>
            </w:tcBorders>
            <w:noWrap/>
            <w:vAlign w:val="bottom"/>
            <w:hideMark/>
          </w:tcPr>
          <w:p w14:paraId="790D60EC"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(AT1 - N/A)</w:t>
            </w:r>
          </w:p>
        </w:tc>
        <w:tc>
          <w:tcPr>
            <w:tcW w:w="1646" w:type="dxa"/>
            <w:tcBorders>
              <w:top w:val="nil"/>
              <w:left w:val="nil"/>
              <w:bottom w:val="single" w:sz="4" w:space="0" w:color="auto"/>
              <w:right w:val="single" w:sz="4" w:space="0" w:color="auto"/>
            </w:tcBorders>
            <w:noWrap/>
            <w:vAlign w:val="bottom"/>
            <w:hideMark/>
          </w:tcPr>
          <w:p w14:paraId="114C2E81"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(AT1 - N/A)</w:t>
            </w:r>
          </w:p>
        </w:tc>
      </w:tr>
      <w:tr w:rsidR="00D940EA" w:rsidRPr="00B525EF" w14:paraId="79FBB7C5" w14:textId="77777777" w:rsidTr="00D940EA">
        <w:trPr>
          <w:trHeight w:val="257"/>
        </w:trPr>
        <w:tc>
          <w:tcPr>
            <w:tcW w:w="4905" w:type="dxa"/>
            <w:tcBorders>
              <w:top w:val="nil"/>
              <w:left w:val="single" w:sz="4" w:space="0" w:color="auto"/>
              <w:bottom w:val="single" w:sz="4" w:space="0" w:color="auto"/>
              <w:right w:val="single" w:sz="4" w:space="0" w:color="auto"/>
            </w:tcBorders>
            <w:noWrap/>
            <w:vAlign w:val="bottom"/>
            <w:hideMark/>
          </w:tcPr>
          <w:p w14:paraId="5DD508B4"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Garmin 16x GPS Sensor</w:t>
            </w:r>
          </w:p>
        </w:tc>
        <w:tc>
          <w:tcPr>
            <w:tcW w:w="1646" w:type="dxa"/>
            <w:tcBorders>
              <w:top w:val="nil"/>
              <w:left w:val="nil"/>
              <w:bottom w:val="single" w:sz="4" w:space="0" w:color="auto"/>
              <w:right w:val="single" w:sz="4" w:space="0" w:color="auto"/>
            </w:tcBorders>
            <w:noWrap/>
            <w:vAlign w:val="bottom"/>
            <w:hideMark/>
          </w:tcPr>
          <w:p w14:paraId="50BBD168"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7A994</w:t>
            </w:r>
          </w:p>
        </w:tc>
        <w:tc>
          <w:tcPr>
            <w:tcW w:w="1646" w:type="dxa"/>
            <w:tcBorders>
              <w:top w:val="nil"/>
              <w:left w:val="nil"/>
              <w:bottom w:val="single" w:sz="4" w:space="0" w:color="auto"/>
              <w:right w:val="single" w:sz="4" w:space="0" w:color="auto"/>
            </w:tcBorders>
            <w:noWrap/>
            <w:vAlign w:val="bottom"/>
            <w:hideMark/>
          </w:tcPr>
          <w:p w14:paraId="505D71D3"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(AT1 - N/A)</w:t>
            </w:r>
          </w:p>
        </w:tc>
        <w:tc>
          <w:tcPr>
            <w:tcW w:w="1646" w:type="dxa"/>
            <w:tcBorders>
              <w:top w:val="nil"/>
              <w:left w:val="nil"/>
              <w:bottom w:val="single" w:sz="4" w:space="0" w:color="auto"/>
              <w:right w:val="single" w:sz="4" w:space="0" w:color="auto"/>
            </w:tcBorders>
            <w:noWrap/>
            <w:vAlign w:val="bottom"/>
            <w:hideMark/>
          </w:tcPr>
          <w:p w14:paraId="2BE48CD6"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(AT1 - N/A)</w:t>
            </w:r>
          </w:p>
        </w:tc>
      </w:tr>
      <w:tr w:rsidR="00D940EA" w:rsidRPr="00B525EF" w14:paraId="054E50E5" w14:textId="77777777" w:rsidTr="00D940EA">
        <w:trPr>
          <w:trHeight w:val="257"/>
        </w:trPr>
        <w:tc>
          <w:tcPr>
            <w:tcW w:w="4905" w:type="dxa"/>
            <w:tcBorders>
              <w:top w:val="nil"/>
              <w:left w:val="single" w:sz="4" w:space="0" w:color="auto"/>
              <w:bottom w:val="single" w:sz="4" w:space="0" w:color="auto"/>
              <w:right w:val="single" w:sz="4" w:space="0" w:color="auto"/>
            </w:tcBorders>
            <w:noWrap/>
            <w:vAlign w:val="bottom"/>
            <w:hideMark/>
          </w:tcPr>
          <w:p w14:paraId="48C5EC17"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Whole system</w:t>
            </w:r>
          </w:p>
        </w:tc>
        <w:tc>
          <w:tcPr>
            <w:tcW w:w="1646" w:type="dxa"/>
            <w:tcBorders>
              <w:top w:val="nil"/>
              <w:left w:val="nil"/>
              <w:bottom w:val="single" w:sz="4" w:space="0" w:color="auto"/>
              <w:right w:val="single" w:sz="4" w:space="0" w:color="auto"/>
            </w:tcBorders>
            <w:noWrap/>
            <w:vAlign w:val="bottom"/>
            <w:hideMark/>
          </w:tcPr>
          <w:p w14:paraId="6BFEFB01"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6A006</w:t>
            </w:r>
          </w:p>
        </w:tc>
        <w:tc>
          <w:tcPr>
            <w:tcW w:w="1646" w:type="dxa"/>
            <w:tcBorders>
              <w:top w:val="nil"/>
              <w:left w:val="nil"/>
              <w:bottom w:val="single" w:sz="4" w:space="0" w:color="auto"/>
              <w:right w:val="single" w:sz="4" w:space="0" w:color="auto"/>
            </w:tcBorders>
            <w:noWrap/>
            <w:vAlign w:val="bottom"/>
            <w:hideMark/>
          </w:tcPr>
          <w:p w14:paraId="2FF04E99"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NS2 (AT1 - N/A)</w:t>
            </w:r>
          </w:p>
        </w:tc>
        <w:tc>
          <w:tcPr>
            <w:tcW w:w="1646" w:type="dxa"/>
            <w:tcBorders>
              <w:top w:val="nil"/>
              <w:left w:val="nil"/>
              <w:bottom w:val="single" w:sz="4" w:space="0" w:color="auto"/>
              <w:right w:val="single" w:sz="4" w:space="0" w:color="auto"/>
            </w:tcBorders>
            <w:noWrap/>
            <w:vAlign w:val="bottom"/>
            <w:hideMark/>
          </w:tcPr>
          <w:p w14:paraId="31041960" w14:textId="77777777" w:rsidR="00D940EA" w:rsidRPr="00B525EF" w:rsidRDefault="00D940EA" w:rsidP="00291F14">
            <w:pPr>
              <w:spacing w:after="0" w:line="240" w:lineRule="auto"/>
              <w:rPr>
                <w:rFonts w:ascii="Calibri" w:eastAsia="Times New Roman" w:hAnsi="Calibri" w:cs="Calibri"/>
                <w:color w:val="000000"/>
                <w:kern w:val="0"/>
                <w:sz w:val="22"/>
                <w:szCs w:val="22"/>
                <w14:ligatures w14:val="none"/>
              </w:rPr>
            </w:pPr>
            <w:r w:rsidRPr="00B525EF">
              <w:rPr>
                <w:rFonts w:ascii="Calibri" w:eastAsia="Times New Roman" w:hAnsi="Calibri" w:cs="Calibri"/>
                <w:color w:val="000000"/>
                <w:kern w:val="0"/>
                <w:sz w:val="22"/>
                <w:szCs w:val="22"/>
                <w14:ligatures w14:val="none"/>
              </w:rPr>
              <w:t>NS2 (AT1 - N/A)</w:t>
            </w:r>
          </w:p>
        </w:tc>
      </w:tr>
    </w:tbl>
    <w:p w14:paraId="7D6B1FAB" w14:textId="770C061F" w:rsidR="00B525EF" w:rsidRPr="001F1935" w:rsidRDefault="00D940EA" w:rsidP="00D940EA">
      <w:pPr>
        <w:spacing w:after="0" w:line="240" w:lineRule="auto"/>
        <w:ind w:left="720"/>
        <w:rPr>
          <w:rFonts w:ascii="Calibri" w:eastAsia="Times New Roman" w:hAnsi="Calibri" w:cs="Calibri"/>
        </w:rPr>
      </w:pPr>
      <w:r>
        <w:rPr>
          <w:rFonts w:ascii="Calibri" w:eastAsia="Times New Roman" w:hAnsi="Calibri" w:cs="Calibri"/>
        </w:rPr>
        <w:br/>
      </w:r>
      <w:r>
        <w:rPr>
          <w:rFonts w:ascii="Calibri" w:eastAsia="Times New Roman" w:hAnsi="Calibri" w:cs="Calibri"/>
        </w:rPr>
        <w:br/>
      </w:r>
    </w:p>
    <w:p w14:paraId="11AAE80C" w14:textId="4527F992"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t>3. Chronological Sequence of the Transaction</w:t>
      </w:r>
      <w:r w:rsidR="00D940EA">
        <w:rPr>
          <w:rFonts w:ascii="Calibri" w:eastAsia="Times New Roman" w:hAnsi="Calibri" w:cs="Calibri"/>
          <w:b/>
          <w:bCs/>
        </w:rPr>
        <w:br/>
      </w:r>
    </w:p>
    <w:p w14:paraId="6494D0AD" w14:textId="31F93AEF"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t>3.1 Pre-Shipment (United States – December 202</w:t>
      </w:r>
      <w:r w:rsidR="00D940EA">
        <w:rPr>
          <w:rFonts w:ascii="Calibri" w:eastAsia="Times New Roman" w:hAnsi="Calibri" w:cs="Calibri"/>
          <w:b/>
          <w:bCs/>
        </w:rPr>
        <w:t>5</w:t>
      </w:r>
      <w:r w:rsidRPr="001F1935">
        <w:rPr>
          <w:rFonts w:ascii="Calibri" w:eastAsia="Times New Roman" w:hAnsi="Calibri" w:cs="Calibri"/>
          <w:b/>
          <w:bCs/>
        </w:rPr>
        <w:t>)</w:t>
      </w:r>
    </w:p>
    <w:p w14:paraId="3C165F27" w14:textId="77777777" w:rsidR="00B525EF" w:rsidRPr="001F1935" w:rsidRDefault="00B525EF" w:rsidP="00B525EF">
      <w:pPr>
        <w:numPr>
          <w:ilvl w:val="0"/>
          <w:numId w:val="4"/>
        </w:numPr>
        <w:spacing w:after="0" w:line="240" w:lineRule="auto"/>
        <w:rPr>
          <w:rFonts w:ascii="Calibri" w:eastAsia="Times New Roman" w:hAnsi="Calibri" w:cs="Calibri"/>
        </w:rPr>
      </w:pPr>
      <w:r w:rsidRPr="001F1935">
        <w:rPr>
          <w:rFonts w:ascii="Calibri" w:eastAsia="Times New Roman" w:hAnsi="Calibri" w:cs="Calibri"/>
        </w:rPr>
        <w:t>MBARI prepares the SWAN CSEM system for export, including testing, packing, and documentation.</w:t>
      </w:r>
    </w:p>
    <w:p w14:paraId="414D40FF" w14:textId="77777777" w:rsidR="00B525EF" w:rsidRPr="001F1935" w:rsidRDefault="00B525EF" w:rsidP="00B525EF">
      <w:pPr>
        <w:numPr>
          <w:ilvl w:val="0"/>
          <w:numId w:val="4"/>
        </w:numPr>
        <w:spacing w:after="0" w:line="240" w:lineRule="auto"/>
        <w:rPr>
          <w:rFonts w:ascii="Calibri" w:eastAsia="Times New Roman" w:hAnsi="Calibri" w:cs="Calibri"/>
        </w:rPr>
      </w:pPr>
      <w:r w:rsidRPr="001F1935">
        <w:rPr>
          <w:rFonts w:ascii="Calibri" w:eastAsia="Times New Roman" w:hAnsi="Calibri" w:cs="Calibri"/>
        </w:rPr>
        <w:t xml:space="preserve">The system is shipped from the United States to the port of Punta Arenas, Chile, with an expected arrival before </w:t>
      </w:r>
      <w:r w:rsidRPr="001F1935">
        <w:rPr>
          <w:rFonts w:ascii="Calibri" w:eastAsia="Times New Roman" w:hAnsi="Calibri" w:cs="Calibri"/>
          <w:b/>
          <w:bCs/>
        </w:rPr>
        <w:t>7 January 2026</w:t>
      </w:r>
      <w:r w:rsidRPr="001F1935">
        <w:rPr>
          <w:rFonts w:ascii="Calibri" w:eastAsia="Times New Roman" w:hAnsi="Calibri" w:cs="Calibri"/>
        </w:rPr>
        <w:t>.</w:t>
      </w:r>
    </w:p>
    <w:p w14:paraId="4BC34AB5" w14:textId="77777777" w:rsidR="00B525EF" w:rsidRPr="001F1935" w:rsidRDefault="00B525EF" w:rsidP="00B525EF">
      <w:pPr>
        <w:numPr>
          <w:ilvl w:val="0"/>
          <w:numId w:val="4"/>
        </w:numPr>
        <w:spacing w:after="0" w:line="240" w:lineRule="auto"/>
        <w:rPr>
          <w:rFonts w:ascii="Calibri" w:eastAsia="Times New Roman" w:hAnsi="Calibri" w:cs="Calibri"/>
        </w:rPr>
      </w:pPr>
      <w:r w:rsidRPr="001F1935">
        <w:rPr>
          <w:rFonts w:ascii="Calibri" w:eastAsia="Times New Roman" w:hAnsi="Calibri" w:cs="Calibri"/>
        </w:rPr>
        <w:t>Custody during transport remains with the certified international freight carrier.</w:t>
      </w:r>
    </w:p>
    <w:p w14:paraId="1E15D3F4" w14:textId="4156A356" w:rsidR="00B525EF" w:rsidRPr="001F1935" w:rsidRDefault="00B525EF" w:rsidP="00B525EF">
      <w:pPr>
        <w:numPr>
          <w:ilvl w:val="0"/>
          <w:numId w:val="4"/>
        </w:numPr>
        <w:spacing w:after="0" w:line="240" w:lineRule="auto"/>
        <w:rPr>
          <w:rFonts w:ascii="Calibri" w:eastAsia="Times New Roman" w:hAnsi="Calibri" w:cs="Calibri"/>
        </w:rPr>
      </w:pPr>
      <w:r w:rsidRPr="001F1935">
        <w:rPr>
          <w:rFonts w:ascii="Calibri" w:eastAsia="Times New Roman" w:hAnsi="Calibri" w:cs="Calibri"/>
        </w:rPr>
        <w:t>The shipping label will include the vessel agent address:</w:t>
      </w:r>
      <w:r w:rsidRPr="001F1935">
        <w:rPr>
          <w:rFonts w:ascii="Calibri" w:eastAsia="Times New Roman" w:hAnsi="Calibri" w:cs="Calibri"/>
        </w:rPr>
        <w:br/>
      </w:r>
      <w:proofErr w:type="spellStart"/>
      <w:r w:rsidRPr="001F1935">
        <w:rPr>
          <w:rFonts w:ascii="Calibri" w:eastAsia="Times New Roman" w:hAnsi="Calibri" w:cs="Calibri"/>
          <w:i/>
          <w:iCs/>
        </w:rPr>
        <w:t>Buque</w:t>
      </w:r>
      <w:proofErr w:type="spellEnd"/>
      <w:r w:rsidRPr="001F1935">
        <w:rPr>
          <w:rFonts w:ascii="Calibri" w:eastAsia="Times New Roman" w:hAnsi="Calibri" w:cs="Calibri"/>
          <w:i/>
          <w:iCs/>
        </w:rPr>
        <w:t xml:space="preserve"> BIO </w:t>
      </w:r>
      <w:proofErr w:type="spellStart"/>
      <w:r w:rsidRPr="001F1935">
        <w:rPr>
          <w:rFonts w:ascii="Calibri" w:eastAsia="Times New Roman" w:hAnsi="Calibri" w:cs="Calibri"/>
          <w:i/>
          <w:iCs/>
        </w:rPr>
        <w:t>Hespérides</w:t>
      </w:r>
      <w:proofErr w:type="spellEnd"/>
      <w:r w:rsidRPr="001F1935">
        <w:rPr>
          <w:rFonts w:ascii="Calibri" w:eastAsia="Times New Roman" w:hAnsi="Calibri" w:cs="Calibri"/>
          <w:i/>
          <w:iCs/>
        </w:rPr>
        <w:t xml:space="preserve"> (Armada Española), c/o Shackleton’s Way </w:t>
      </w:r>
      <w:proofErr w:type="spellStart"/>
      <w:r w:rsidRPr="001F1935">
        <w:rPr>
          <w:rFonts w:ascii="Calibri" w:eastAsia="Times New Roman" w:hAnsi="Calibri" w:cs="Calibri"/>
          <w:i/>
          <w:iCs/>
        </w:rPr>
        <w:t>Agente</w:t>
      </w:r>
      <w:proofErr w:type="spellEnd"/>
      <w:r w:rsidRPr="001F1935">
        <w:rPr>
          <w:rFonts w:ascii="Calibri" w:eastAsia="Times New Roman" w:hAnsi="Calibri" w:cs="Calibri"/>
          <w:i/>
          <w:iCs/>
        </w:rPr>
        <w:t xml:space="preserve"> de </w:t>
      </w:r>
      <w:proofErr w:type="spellStart"/>
      <w:r w:rsidRPr="001F1935">
        <w:rPr>
          <w:rFonts w:ascii="Calibri" w:eastAsia="Times New Roman" w:hAnsi="Calibri" w:cs="Calibri"/>
          <w:i/>
          <w:iCs/>
        </w:rPr>
        <w:t>Buques</w:t>
      </w:r>
      <w:proofErr w:type="spellEnd"/>
      <w:r w:rsidRPr="001F1935">
        <w:rPr>
          <w:rFonts w:ascii="Calibri" w:eastAsia="Times New Roman" w:hAnsi="Calibri" w:cs="Calibri"/>
          <w:i/>
          <w:iCs/>
        </w:rPr>
        <w:t>, Pedro Sarmiento de Gamboa 846, Punta Arenas, Chile.</w:t>
      </w:r>
      <w:r w:rsidRPr="001F1935">
        <w:rPr>
          <w:rFonts w:ascii="Calibri" w:eastAsia="Times New Roman" w:hAnsi="Calibri" w:cs="Calibri"/>
        </w:rPr>
        <w:br/>
        <w:t xml:space="preserve">Required customs note: </w:t>
      </w:r>
      <w:r w:rsidRPr="001F1935">
        <w:rPr>
          <w:rFonts w:ascii="Calibri" w:eastAsia="Times New Roman" w:hAnsi="Calibri" w:cs="Calibri"/>
          <w:i/>
          <w:iCs/>
        </w:rPr>
        <w:t>“</w:t>
      </w:r>
      <w:proofErr w:type="spellStart"/>
      <w:r w:rsidRPr="001F1935">
        <w:rPr>
          <w:rFonts w:ascii="Calibri" w:eastAsia="Times New Roman" w:hAnsi="Calibri" w:cs="Calibri"/>
          <w:i/>
          <w:iCs/>
        </w:rPr>
        <w:t>mercancía</w:t>
      </w:r>
      <w:proofErr w:type="spellEnd"/>
      <w:r w:rsidRPr="001F1935">
        <w:rPr>
          <w:rFonts w:ascii="Calibri" w:eastAsia="Times New Roman" w:hAnsi="Calibri" w:cs="Calibri"/>
          <w:i/>
          <w:iCs/>
        </w:rPr>
        <w:t xml:space="preserve"> / Rancho de nave </w:t>
      </w:r>
      <w:proofErr w:type="spellStart"/>
      <w:r w:rsidRPr="001F1935">
        <w:rPr>
          <w:rFonts w:ascii="Calibri" w:eastAsia="Times New Roman" w:hAnsi="Calibri" w:cs="Calibri"/>
          <w:i/>
          <w:iCs/>
        </w:rPr>
        <w:t>en</w:t>
      </w:r>
      <w:proofErr w:type="spellEnd"/>
      <w:r w:rsidRPr="001F1935">
        <w:rPr>
          <w:rFonts w:ascii="Calibri" w:eastAsia="Times New Roman" w:hAnsi="Calibri" w:cs="Calibri"/>
          <w:i/>
          <w:iCs/>
        </w:rPr>
        <w:t xml:space="preserve"> </w:t>
      </w:r>
      <w:proofErr w:type="spellStart"/>
      <w:r w:rsidRPr="001F1935">
        <w:rPr>
          <w:rFonts w:ascii="Calibri" w:eastAsia="Times New Roman" w:hAnsi="Calibri" w:cs="Calibri"/>
          <w:i/>
          <w:iCs/>
        </w:rPr>
        <w:t>transito</w:t>
      </w:r>
      <w:proofErr w:type="spellEnd"/>
      <w:r w:rsidRPr="001F1935">
        <w:rPr>
          <w:rFonts w:ascii="Calibri" w:eastAsia="Times New Roman" w:hAnsi="Calibri" w:cs="Calibri"/>
          <w:i/>
          <w:iCs/>
        </w:rPr>
        <w:t xml:space="preserve"> a la </w:t>
      </w:r>
      <w:proofErr w:type="spellStart"/>
      <w:r w:rsidRPr="001F1935">
        <w:rPr>
          <w:rFonts w:ascii="Calibri" w:eastAsia="Times New Roman" w:hAnsi="Calibri" w:cs="Calibri"/>
          <w:i/>
          <w:iCs/>
        </w:rPr>
        <w:t>antártica</w:t>
      </w:r>
      <w:proofErr w:type="spellEnd"/>
      <w:r w:rsidRPr="001F1935">
        <w:rPr>
          <w:rFonts w:ascii="Calibri" w:eastAsia="Times New Roman" w:hAnsi="Calibri" w:cs="Calibri"/>
          <w:i/>
          <w:iCs/>
        </w:rPr>
        <w:t>.”</w:t>
      </w:r>
      <w:r w:rsidR="00D940EA">
        <w:rPr>
          <w:rFonts w:ascii="Calibri" w:eastAsia="Times New Roman" w:hAnsi="Calibri" w:cs="Calibri"/>
          <w:i/>
          <w:iCs/>
        </w:rPr>
        <w:br/>
      </w:r>
    </w:p>
    <w:p w14:paraId="4670F515" w14:textId="77777777"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lastRenderedPageBreak/>
        <w:t>3.2 Receipt and Port Logistics (Punta Arenas – 7 January 2026)</w:t>
      </w:r>
    </w:p>
    <w:p w14:paraId="7676FE5E" w14:textId="28CC2DC5" w:rsidR="00B525EF" w:rsidRPr="001F1935" w:rsidRDefault="00B525EF" w:rsidP="00B525EF">
      <w:pPr>
        <w:numPr>
          <w:ilvl w:val="0"/>
          <w:numId w:val="5"/>
        </w:numPr>
        <w:spacing w:after="0" w:line="240" w:lineRule="auto"/>
        <w:rPr>
          <w:rFonts w:ascii="Calibri" w:eastAsia="Times New Roman" w:hAnsi="Calibri" w:cs="Calibri"/>
        </w:rPr>
      </w:pPr>
      <w:r w:rsidRPr="001F1935">
        <w:rPr>
          <w:rFonts w:ascii="Calibri" w:eastAsia="Times New Roman" w:hAnsi="Calibri" w:cs="Calibri"/>
        </w:rPr>
        <w:t xml:space="preserve">Upon arrival in Punta Arenas, the SWAN CSEM system is received by the vessel agent (Milenko Buljan). The cases hosting the system will be </w:t>
      </w:r>
      <w:r w:rsidR="00D940EA">
        <w:rPr>
          <w:rFonts w:ascii="Calibri" w:eastAsia="Times New Roman" w:hAnsi="Calibri" w:cs="Calibri"/>
        </w:rPr>
        <w:t>secured/</w:t>
      </w:r>
      <w:r w:rsidRPr="001F1935">
        <w:rPr>
          <w:rFonts w:ascii="Calibri" w:eastAsia="Times New Roman" w:hAnsi="Calibri" w:cs="Calibri"/>
        </w:rPr>
        <w:t>locked.</w:t>
      </w:r>
    </w:p>
    <w:p w14:paraId="4E0950E3" w14:textId="77777777" w:rsidR="00B525EF" w:rsidRPr="001F1935" w:rsidRDefault="00B525EF" w:rsidP="00B525EF">
      <w:pPr>
        <w:numPr>
          <w:ilvl w:val="0"/>
          <w:numId w:val="5"/>
        </w:numPr>
        <w:spacing w:after="0" w:line="240" w:lineRule="auto"/>
        <w:rPr>
          <w:rFonts w:ascii="Calibri" w:eastAsia="Times New Roman" w:hAnsi="Calibri" w:cs="Calibri"/>
        </w:rPr>
      </w:pPr>
      <w:r w:rsidRPr="001F1935">
        <w:rPr>
          <w:rFonts w:ascii="Calibri" w:eastAsia="Times New Roman" w:hAnsi="Calibri" w:cs="Calibri"/>
        </w:rPr>
        <w:t>The system remains in a secure staging area under the responsibility of the vessel agent until loaded.</w:t>
      </w:r>
    </w:p>
    <w:p w14:paraId="5670EE27" w14:textId="5D0684FE" w:rsidR="00B525EF" w:rsidRPr="001F1935" w:rsidRDefault="00B525EF" w:rsidP="00B525EF">
      <w:pPr>
        <w:numPr>
          <w:ilvl w:val="0"/>
          <w:numId w:val="5"/>
        </w:numPr>
        <w:spacing w:after="0" w:line="240" w:lineRule="auto"/>
        <w:rPr>
          <w:rFonts w:ascii="Calibri" w:eastAsia="Times New Roman" w:hAnsi="Calibri" w:cs="Calibri"/>
        </w:rPr>
      </w:pPr>
      <w:r w:rsidRPr="001F1935">
        <w:rPr>
          <w:rFonts w:ascii="Calibri" w:eastAsia="Times New Roman" w:hAnsi="Calibri" w:cs="Calibri"/>
        </w:rPr>
        <w:t xml:space="preserve">The instrument is loaded onto </w:t>
      </w:r>
      <w:r w:rsidRPr="001F1935">
        <w:rPr>
          <w:rFonts w:ascii="Calibri" w:eastAsia="Times New Roman" w:hAnsi="Calibri" w:cs="Calibri"/>
          <w:i/>
          <w:iCs/>
        </w:rPr>
        <w:t xml:space="preserve">R/V </w:t>
      </w:r>
      <w:proofErr w:type="spellStart"/>
      <w:r w:rsidRPr="001F1935">
        <w:rPr>
          <w:rFonts w:ascii="Calibri" w:eastAsia="Times New Roman" w:hAnsi="Calibri" w:cs="Calibri"/>
          <w:i/>
          <w:iCs/>
        </w:rPr>
        <w:t>Hespérides</w:t>
      </w:r>
      <w:proofErr w:type="spellEnd"/>
      <w:r w:rsidRPr="001F1935">
        <w:rPr>
          <w:rFonts w:ascii="Calibri" w:eastAsia="Times New Roman" w:hAnsi="Calibri" w:cs="Calibri"/>
        </w:rPr>
        <w:t xml:space="preserve"> under the supervision of the ship </w:t>
      </w:r>
      <w:r w:rsidR="00D940EA">
        <w:rPr>
          <w:rFonts w:ascii="Calibri" w:eastAsia="Times New Roman" w:hAnsi="Calibri" w:cs="Calibri"/>
        </w:rPr>
        <w:t>captain</w:t>
      </w:r>
      <w:r w:rsidRPr="001F1935">
        <w:rPr>
          <w:rFonts w:ascii="Calibri" w:eastAsia="Times New Roman" w:hAnsi="Calibri" w:cs="Calibri"/>
        </w:rPr>
        <w:t>.</w:t>
      </w:r>
      <w:r w:rsidR="00D940EA">
        <w:rPr>
          <w:rFonts w:ascii="Calibri" w:eastAsia="Times New Roman" w:hAnsi="Calibri" w:cs="Calibri"/>
        </w:rPr>
        <w:br/>
      </w:r>
    </w:p>
    <w:p w14:paraId="456D3844" w14:textId="77777777"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t>3.3 Transfer of Custody and Control</w:t>
      </w:r>
    </w:p>
    <w:p w14:paraId="0A146A57" w14:textId="77777777" w:rsidR="00B525EF" w:rsidRPr="001F1935" w:rsidRDefault="00B525EF" w:rsidP="00B525EF">
      <w:pPr>
        <w:numPr>
          <w:ilvl w:val="0"/>
          <w:numId w:val="6"/>
        </w:numPr>
        <w:spacing w:after="0" w:line="240" w:lineRule="auto"/>
        <w:rPr>
          <w:rFonts w:ascii="Calibri" w:eastAsia="Times New Roman" w:hAnsi="Calibri" w:cs="Calibri"/>
        </w:rPr>
      </w:pPr>
      <w:r w:rsidRPr="001F1935">
        <w:rPr>
          <w:rFonts w:ascii="Calibri" w:eastAsia="Times New Roman" w:hAnsi="Calibri" w:cs="Calibri"/>
          <w:b/>
          <w:bCs/>
        </w:rPr>
        <w:t>Prior to embarkation:</w:t>
      </w:r>
      <w:r w:rsidRPr="001F1935">
        <w:rPr>
          <w:rFonts w:ascii="Calibri" w:eastAsia="Times New Roman" w:hAnsi="Calibri" w:cs="Calibri"/>
        </w:rPr>
        <w:t xml:space="preserve"> Custody is held by the vessel agent.</w:t>
      </w:r>
    </w:p>
    <w:p w14:paraId="4C4032B8" w14:textId="7BBBF4B0" w:rsidR="00B525EF" w:rsidRPr="001F1935" w:rsidRDefault="00B525EF" w:rsidP="00B525EF">
      <w:pPr>
        <w:numPr>
          <w:ilvl w:val="0"/>
          <w:numId w:val="6"/>
        </w:numPr>
        <w:spacing w:after="0" w:line="240" w:lineRule="auto"/>
        <w:rPr>
          <w:rFonts w:ascii="Calibri" w:eastAsia="Times New Roman" w:hAnsi="Calibri" w:cs="Calibri"/>
        </w:rPr>
      </w:pPr>
      <w:r w:rsidRPr="001F1935">
        <w:rPr>
          <w:rFonts w:ascii="Calibri" w:eastAsia="Times New Roman" w:hAnsi="Calibri" w:cs="Calibri"/>
          <w:b/>
          <w:bCs/>
        </w:rPr>
        <w:t>Once loaded on the vessel (7 January):</w:t>
      </w:r>
      <w:r w:rsidRPr="001F1935">
        <w:rPr>
          <w:rFonts w:ascii="Calibri" w:eastAsia="Times New Roman" w:hAnsi="Calibri" w:cs="Calibri"/>
        </w:rPr>
        <w:br/>
        <w:t xml:space="preserve">Physical custody transfers to the </w:t>
      </w:r>
      <w:r w:rsidRPr="001F1935">
        <w:rPr>
          <w:rFonts w:ascii="Calibri" w:eastAsia="Times New Roman" w:hAnsi="Calibri" w:cs="Calibri"/>
          <w:i/>
          <w:iCs/>
        </w:rPr>
        <w:t xml:space="preserve">R/V </w:t>
      </w:r>
      <w:proofErr w:type="spellStart"/>
      <w:r w:rsidRPr="001F1935">
        <w:rPr>
          <w:rFonts w:ascii="Calibri" w:eastAsia="Times New Roman" w:hAnsi="Calibri" w:cs="Calibri"/>
          <w:i/>
          <w:iCs/>
        </w:rPr>
        <w:t>Hespérides</w:t>
      </w:r>
      <w:proofErr w:type="spellEnd"/>
      <w:r w:rsidRPr="001F1935">
        <w:rPr>
          <w:rFonts w:ascii="Calibri" w:eastAsia="Times New Roman" w:hAnsi="Calibri" w:cs="Calibri"/>
        </w:rPr>
        <w:t xml:space="preserve"> </w:t>
      </w:r>
      <w:r w:rsidR="00D940EA">
        <w:rPr>
          <w:rFonts w:ascii="Calibri" w:eastAsia="Times New Roman" w:hAnsi="Calibri" w:cs="Calibri"/>
        </w:rPr>
        <w:t xml:space="preserve">captain while remaining </w:t>
      </w:r>
      <w:proofErr w:type="spellStart"/>
      <w:r w:rsidR="00D940EA">
        <w:rPr>
          <w:rFonts w:ascii="Calibri" w:eastAsia="Times New Roman" w:hAnsi="Calibri" w:cs="Calibri"/>
        </w:rPr>
        <w:t>secuer</w:t>
      </w:r>
      <w:proofErr w:type="spellEnd"/>
      <w:r w:rsidR="00D940EA">
        <w:rPr>
          <w:rFonts w:ascii="Calibri" w:eastAsia="Times New Roman" w:hAnsi="Calibri" w:cs="Calibri"/>
        </w:rPr>
        <w:t xml:space="preserve"> and locked in container on the vessel</w:t>
      </w:r>
      <w:r w:rsidRPr="001F1935">
        <w:rPr>
          <w:rFonts w:ascii="Calibri" w:eastAsia="Times New Roman" w:hAnsi="Calibri" w:cs="Calibri"/>
        </w:rPr>
        <w:t xml:space="preserve">. </w:t>
      </w:r>
    </w:p>
    <w:p w14:paraId="55E68FA3" w14:textId="77777777" w:rsidR="00B525EF" w:rsidRPr="001F1935" w:rsidRDefault="00B525EF" w:rsidP="00B525EF">
      <w:pPr>
        <w:numPr>
          <w:ilvl w:val="0"/>
          <w:numId w:val="6"/>
        </w:numPr>
        <w:spacing w:after="0" w:line="240" w:lineRule="auto"/>
        <w:rPr>
          <w:rFonts w:ascii="Calibri" w:eastAsia="Times New Roman" w:hAnsi="Calibri" w:cs="Calibri"/>
        </w:rPr>
      </w:pPr>
      <w:r w:rsidRPr="001F1935">
        <w:rPr>
          <w:rFonts w:ascii="Calibri" w:eastAsia="Times New Roman" w:hAnsi="Calibri" w:cs="Calibri"/>
        </w:rPr>
        <w:t xml:space="preserve">MBARI personnel (Aaron Micallef or Johann Voigtlander) will open the cases and inspect the shipment upon embarkation (20 January 2026). </w:t>
      </w:r>
    </w:p>
    <w:p w14:paraId="09215568" w14:textId="665F66D1" w:rsidR="00B525EF" w:rsidRPr="001F1935" w:rsidRDefault="00B525EF" w:rsidP="00B525EF">
      <w:pPr>
        <w:numPr>
          <w:ilvl w:val="0"/>
          <w:numId w:val="6"/>
        </w:numPr>
        <w:spacing w:after="0" w:line="240" w:lineRule="auto"/>
        <w:rPr>
          <w:rFonts w:ascii="Calibri" w:eastAsia="Times New Roman" w:hAnsi="Calibri" w:cs="Calibri"/>
        </w:rPr>
      </w:pPr>
      <w:r w:rsidRPr="001F1935">
        <w:rPr>
          <w:rFonts w:ascii="Calibri" w:eastAsia="Times New Roman" w:hAnsi="Calibri" w:cs="Calibri"/>
        </w:rPr>
        <w:t>The system is installed and operated exclusively by MBARI personnel and collaborating scientists</w:t>
      </w:r>
      <w:r w:rsidR="00D940EA">
        <w:rPr>
          <w:rFonts w:ascii="Calibri" w:eastAsia="Times New Roman" w:hAnsi="Calibri" w:cs="Calibri"/>
        </w:rPr>
        <w:t xml:space="preserve"> (with no access to export controlled items, software or technical data)</w:t>
      </w:r>
      <w:r w:rsidRPr="001F1935">
        <w:rPr>
          <w:rFonts w:ascii="Calibri" w:eastAsia="Times New Roman" w:hAnsi="Calibri" w:cs="Calibri"/>
        </w:rPr>
        <w:t xml:space="preserve">, under the authority of the expedition’s Principal Investigator (PI), Aaron Micallef. </w:t>
      </w:r>
      <w:r w:rsidR="00D940EA">
        <w:rPr>
          <w:rFonts w:ascii="Calibri" w:eastAsia="Times New Roman" w:hAnsi="Calibri" w:cs="Calibri"/>
        </w:rPr>
        <w:br/>
      </w:r>
    </w:p>
    <w:p w14:paraId="5ED62D8D" w14:textId="77777777"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t>4. Vessels and Modes of Transport</w:t>
      </w:r>
    </w:p>
    <w:p w14:paraId="599E71F5" w14:textId="77777777" w:rsidR="00B525EF" w:rsidRPr="001F1935" w:rsidRDefault="00B525EF" w:rsidP="00B525EF">
      <w:pPr>
        <w:numPr>
          <w:ilvl w:val="0"/>
          <w:numId w:val="7"/>
        </w:numPr>
        <w:spacing w:after="0" w:line="240" w:lineRule="auto"/>
        <w:rPr>
          <w:rFonts w:ascii="Calibri" w:eastAsia="Times New Roman" w:hAnsi="Calibri" w:cs="Calibri"/>
        </w:rPr>
      </w:pPr>
      <w:r w:rsidRPr="001F1935">
        <w:rPr>
          <w:rFonts w:ascii="Calibri" w:eastAsia="Times New Roman" w:hAnsi="Calibri" w:cs="Calibri"/>
          <w:b/>
          <w:bCs/>
        </w:rPr>
        <w:t>Air Transport:</w:t>
      </w:r>
      <w:r w:rsidRPr="001F1935">
        <w:rPr>
          <w:rFonts w:ascii="Calibri" w:eastAsia="Times New Roman" w:hAnsi="Calibri" w:cs="Calibri"/>
        </w:rPr>
        <w:t xml:space="preserve"> United States → Punta Arenas (freight).</w:t>
      </w:r>
    </w:p>
    <w:p w14:paraId="2E86A7E2" w14:textId="77777777" w:rsidR="00B525EF" w:rsidRPr="001F1935" w:rsidRDefault="00B525EF" w:rsidP="00B525EF">
      <w:pPr>
        <w:numPr>
          <w:ilvl w:val="0"/>
          <w:numId w:val="7"/>
        </w:numPr>
        <w:spacing w:after="0" w:line="240" w:lineRule="auto"/>
        <w:rPr>
          <w:rFonts w:ascii="Calibri" w:eastAsia="Times New Roman" w:hAnsi="Calibri" w:cs="Calibri"/>
        </w:rPr>
      </w:pPr>
      <w:r w:rsidRPr="001F1935">
        <w:rPr>
          <w:rFonts w:ascii="Calibri" w:eastAsia="Times New Roman" w:hAnsi="Calibri" w:cs="Calibri"/>
          <w:b/>
          <w:bCs/>
        </w:rPr>
        <w:t>Research Vessel:</w:t>
      </w:r>
      <w:r w:rsidRPr="001F1935">
        <w:rPr>
          <w:rFonts w:ascii="Calibri" w:eastAsia="Times New Roman" w:hAnsi="Calibri" w:cs="Calibri"/>
        </w:rPr>
        <w:t xml:space="preserve"> </w:t>
      </w:r>
      <w:r w:rsidRPr="001F1935">
        <w:rPr>
          <w:rFonts w:ascii="Calibri" w:eastAsia="Times New Roman" w:hAnsi="Calibri" w:cs="Calibri"/>
          <w:i/>
          <w:iCs/>
        </w:rPr>
        <w:t xml:space="preserve">R/V </w:t>
      </w:r>
      <w:proofErr w:type="spellStart"/>
      <w:r w:rsidRPr="001F1935">
        <w:rPr>
          <w:rFonts w:ascii="Calibri" w:eastAsia="Times New Roman" w:hAnsi="Calibri" w:cs="Calibri"/>
          <w:i/>
          <w:iCs/>
        </w:rPr>
        <w:t>Hespérides</w:t>
      </w:r>
      <w:proofErr w:type="spellEnd"/>
      <w:r w:rsidRPr="001F1935">
        <w:rPr>
          <w:rFonts w:ascii="Calibri" w:eastAsia="Times New Roman" w:hAnsi="Calibri" w:cs="Calibri"/>
        </w:rPr>
        <w:t xml:space="preserve"> will transport the equipment from Punta Arenas to the study areas on the northern Antarctic Peninsula.</w:t>
      </w:r>
    </w:p>
    <w:p w14:paraId="7EE367CF" w14:textId="74F855B6" w:rsidR="00B525EF" w:rsidRPr="001F1935" w:rsidRDefault="00B525EF" w:rsidP="00B525EF">
      <w:pPr>
        <w:numPr>
          <w:ilvl w:val="0"/>
          <w:numId w:val="7"/>
        </w:numPr>
        <w:spacing w:after="0" w:line="240" w:lineRule="auto"/>
        <w:rPr>
          <w:rFonts w:ascii="Calibri" w:eastAsia="Times New Roman" w:hAnsi="Calibri" w:cs="Calibri"/>
        </w:rPr>
      </w:pPr>
      <w:r w:rsidRPr="001F1935">
        <w:rPr>
          <w:rFonts w:ascii="Calibri" w:eastAsia="Times New Roman" w:hAnsi="Calibri" w:cs="Calibri"/>
          <w:b/>
          <w:bCs/>
        </w:rPr>
        <w:t>Return Shipping:</w:t>
      </w:r>
      <w:r w:rsidRPr="001F1935">
        <w:rPr>
          <w:rFonts w:ascii="Calibri" w:eastAsia="Times New Roman" w:hAnsi="Calibri" w:cs="Calibri"/>
        </w:rPr>
        <w:t xml:space="preserve"> </w:t>
      </w:r>
      <w:r w:rsidRPr="001F1935">
        <w:rPr>
          <w:rFonts w:ascii="Calibri" w:eastAsia="Times New Roman" w:hAnsi="Calibri" w:cs="Calibri"/>
          <w:i/>
          <w:iCs/>
        </w:rPr>
        <w:t xml:space="preserve">R/V </w:t>
      </w:r>
      <w:proofErr w:type="spellStart"/>
      <w:r w:rsidRPr="001F1935">
        <w:rPr>
          <w:rFonts w:ascii="Calibri" w:eastAsia="Times New Roman" w:hAnsi="Calibri" w:cs="Calibri"/>
          <w:i/>
          <w:iCs/>
        </w:rPr>
        <w:t>Hespérides</w:t>
      </w:r>
      <w:proofErr w:type="spellEnd"/>
      <w:r w:rsidRPr="001F1935">
        <w:rPr>
          <w:rFonts w:ascii="Calibri" w:eastAsia="Times New Roman" w:hAnsi="Calibri" w:cs="Calibri"/>
        </w:rPr>
        <w:t xml:space="preserve"> → Punta Arenas → return freight to the United States.</w:t>
      </w:r>
      <w:r w:rsidR="00D940EA">
        <w:rPr>
          <w:rFonts w:ascii="Calibri" w:eastAsia="Times New Roman" w:hAnsi="Calibri" w:cs="Calibri"/>
        </w:rPr>
        <w:br/>
      </w:r>
    </w:p>
    <w:p w14:paraId="751260D0" w14:textId="75FD15A2"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t>5. Scientific Activities Using the Exported Item</w:t>
      </w:r>
      <w:r w:rsidR="00D940EA">
        <w:rPr>
          <w:rFonts w:ascii="Calibri" w:eastAsia="Times New Roman" w:hAnsi="Calibri" w:cs="Calibri"/>
          <w:b/>
          <w:bCs/>
        </w:rPr>
        <w:br/>
      </w:r>
    </w:p>
    <w:p w14:paraId="5D190C10" w14:textId="77777777"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t>5.1 Deployment and Use of the SWAN CSEM System</w:t>
      </w:r>
    </w:p>
    <w:p w14:paraId="24F0AF6F" w14:textId="77777777" w:rsidR="00B525EF" w:rsidRPr="001F1935" w:rsidRDefault="00B525EF" w:rsidP="00B525EF">
      <w:pPr>
        <w:spacing w:after="0" w:line="240" w:lineRule="auto"/>
        <w:rPr>
          <w:rFonts w:ascii="Calibri" w:eastAsia="Times New Roman" w:hAnsi="Calibri" w:cs="Calibri"/>
        </w:rPr>
      </w:pPr>
      <w:r w:rsidRPr="001F1935">
        <w:rPr>
          <w:rFonts w:ascii="Calibri" w:eastAsia="Times New Roman" w:hAnsi="Calibri" w:cs="Calibri"/>
        </w:rPr>
        <w:t>During the cruise (21 Jan – 31 Jan 2026), the SWAN CSEM system will be used to:</w:t>
      </w:r>
    </w:p>
    <w:p w14:paraId="40870533" w14:textId="77777777" w:rsidR="00B525EF" w:rsidRPr="001F1935" w:rsidRDefault="00B525EF" w:rsidP="00B525EF">
      <w:pPr>
        <w:numPr>
          <w:ilvl w:val="0"/>
          <w:numId w:val="8"/>
        </w:numPr>
        <w:spacing w:after="0" w:line="240" w:lineRule="auto"/>
        <w:rPr>
          <w:rFonts w:ascii="Calibri" w:eastAsia="Times New Roman" w:hAnsi="Calibri" w:cs="Calibri"/>
        </w:rPr>
      </w:pPr>
      <w:r w:rsidRPr="001F1935">
        <w:rPr>
          <w:rFonts w:ascii="Calibri" w:eastAsia="Times New Roman" w:hAnsi="Calibri" w:cs="Calibri"/>
        </w:rPr>
        <w:t>Conduct controlled-source electromagnetic surveys along designated transects.</w:t>
      </w:r>
    </w:p>
    <w:p w14:paraId="16DF4122" w14:textId="77777777" w:rsidR="00B525EF" w:rsidRPr="001F1935" w:rsidRDefault="00B525EF" w:rsidP="00B525EF">
      <w:pPr>
        <w:numPr>
          <w:ilvl w:val="0"/>
          <w:numId w:val="8"/>
        </w:numPr>
        <w:spacing w:after="0" w:line="240" w:lineRule="auto"/>
        <w:rPr>
          <w:rFonts w:ascii="Calibri" w:eastAsia="Times New Roman" w:hAnsi="Calibri" w:cs="Calibri"/>
        </w:rPr>
      </w:pPr>
      <w:r w:rsidRPr="001F1935">
        <w:rPr>
          <w:rFonts w:ascii="Calibri" w:eastAsia="Times New Roman" w:hAnsi="Calibri" w:cs="Calibri"/>
        </w:rPr>
        <w:t>Image sub-seafloor hydrogeological structures.</w:t>
      </w:r>
    </w:p>
    <w:p w14:paraId="0DD27365" w14:textId="0933E50F" w:rsidR="00B525EF" w:rsidRPr="001F1935" w:rsidRDefault="00B525EF" w:rsidP="00B525EF">
      <w:pPr>
        <w:numPr>
          <w:ilvl w:val="0"/>
          <w:numId w:val="8"/>
        </w:numPr>
        <w:spacing w:after="0" w:line="240" w:lineRule="auto"/>
        <w:rPr>
          <w:rFonts w:ascii="Calibri" w:eastAsia="Times New Roman" w:hAnsi="Calibri" w:cs="Calibri"/>
        </w:rPr>
      </w:pPr>
      <w:r w:rsidRPr="001F1935">
        <w:rPr>
          <w:rFonts w:ascii="Calibri" w:eastAsia="Times New Roman" w:hAnsi="Calibri" w:cs="Calibri"/>
        </w:rPr>
        <w:t>Identify resistivity anomalies linked to fluid pathways, seepage zones, and sedimentary reservoirs.</w:t>
      </w:r>
      <w:r w:rsidR="00D940EA">
        <w:rPr>
          <w:rFonts w:ascii="Calibri" w:eastAsia="Times New Roman" w:hAnsi="Calibri" w:cs="Calibri"/>
        </w:rPr>
        <w:br/>
      </w:r>
    </w:p>
    <w:p w14:paraId="5DA1AC73" w14:textId="257043C9" w:rsidR="00B525EF" w:rsidRPr="001F1935" w:rsidRDefault="00B525EF" w:rsidP="00B525EF">
      <w:pPr>
        <w:spacing w:after="0" w:line="240" w:lineRule="auto"/>
        <w:rPr>
          <w:rFonts w:ascii="Calibri" w:eastAsia="Times New Roman" w:hAnsi="Calibri" w:cs="Calibri"/>
        </w:rPr>
      </w:pPr>
      <w:r w:rsidRPr="001F1935">
        <w:rPr>
          <w:rFonts w:ascii="Calibri" w:eastAsia="Times New Roman" w:hAnsi="Calibri" w:cs="Calibri"/>
        </w:rPr>
        <w:t xml:space="preserve">The CSEM system will be deployed from the aft deck of </w:t>
      </w:r>
      <w:r w:rsidRPr="001F1935">
        <w:rPr>
          <w:rFonts w:ascii="Calibri" w:eastAsia="Times New Roman" w:hAnsi="Calibri" w:cs="Calibri"/>
          <w:i/>
          <w:iCs/>
        </w:rPr>
        <w:t xml:space="preserve">R/V </w:t>
      </w:r>
      <w:proofErr w:type="spellStart"/>
      <w:r w:rsidRPr="001F1935">
        <w:rPr>
          <w:rFonts w:ascii="Calibri" w:eastAsia="Times New Roman" w:hAnsi="Calibri" w:cs="Calibri"/>
          <w:i/>
          <w:iCs/>
        </w:rPr>
        <w:t>Hespérides</w:t>
      </w:r>
      <w:proofErr w:type="spellEnd"/>
      <w:r w:rsidRPr="001F1935">
        <w:rPr>
          <w:rFonts w:ascii="Calibri" w:eastAsia="Times New Roman" w:hAnsi="Calibri" w:cs="Calibri"/>
        </w:rPr>
        <w:t xml:space="preserve">. It will operate within standard scientific tow depths and speeds (typical towing speeds 1–2 knots). The equipment will not be transferred, loaned, or demonstrated to any third party. All operations remain under MBARI </w:t>
      </w:r>
      <w:r w:rsidR="00D940EA">
        <w:rPr>
          <w:rFonts w:ascii="Calibri" w:eastAsia="Times New Roman" w:hAnsi="Calibri" w:cs="Calibri"/>
        </w:rPr>
        <w:t xml:space="preserve">staff </w:t>
      </w:r>
      <w:r w:rsidRPr="001F1935">
        <w:rPr>
          <w:rFonts w:ascii="Calibri" w:eastAsia="Times New Roman" w:hAnsi="Calibri" w:cs="Calibri"/>
        </w:rPr>
        <w:t>control.</w:t>
      </w:r>
      <w:r w:rsidR="00D940EA">
        <w:rPr>
          <w:rFonts w:ascii="Calibri" w:eastAsia="Times New Roman" w:hAnsi="Calibri" w:cs="Calibri"/>
        </w:rPr>
        <w:br/>
      </w:r>
    </w:p>
    <w:p w14:paraId="1E61B1EA" w14:textId="77777777"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t>5.2 Integration With Other Instruments</w:t>
      </w:r>
    </w:p>
    <w:p w14:paraId="24F31455" w14:textId="4328FD5B" w:rsidR="00B525EF" w:rsidRPr="001F1935" w:rsidRDefault="00B525EF" w:rsidP="00B525EF">
      <w:pPr>
        <w:spacing w:after="0" w:line="240" w:lineRule="auto"/>
        <w:rPr>
          <w:rFonts w:ascii="Calibri" w:eastAsia="Times New Roman" w:hAnsi="Calibri" w:cs="Calibri"/>
        </w:rPr>
      </w:pPr>
      <w:r w:rsidRPr="001F1935">
        <w:rPr>
          <w:rFonts w:ascii="Calibri" w:eastAsia="Times New Roman" w:hAnsi="Calibri" w:cs="Calibri"/>
        </w:rPr>
        <w:t>The CSEM system will operate simultaneously with</w:t>
      </w:r>
      <w:r w:rsidR="00D940EA">
        <w:rPr>
          <w:rFonts w:ascii="Calibri" w:eastAsia="Times New Roman" w:hAnsi="Calibri" w:cs="Calibri"/>
        </w:rPr>
        <w:t xml:space="preserve"> other instrumentation on the vessel</w:t>
      </w:r>
      <w:r w:rsidRPr="001F1935">
        <w:rPr>
          <w:rFonts w:ascii="Calibri" w:eastAsia="Times New Roman" w:hAnsi="Calibri" w:cs="Calibri"/>
        </w:rPr>
        <w:t>:</w:t>
      </w:r>
    </w:p>
    <w:p w14:paraId="1C5FCECF" w14:textId="77777777" w:rsidR="00B525EF" w:rsidRPr="001F1935" w:rsidRDefault="00B525EF" w:rsidP="00B525EF">
      <w:pPr>
        <w:numPr>
          <w:ilvl w:val="0"/>
          <w:numId w:val="9"/>
        </w:numPr>
        <w:spacing w:after="0" w:line="240" w:lineRule="auto"/>
        <w:rPr>
          <w:rFonts w:ascii="Calibri" w:eastAsia="Times New Roman" w:hAnsi="Calibri" w:cs="Calibri"/>
        </w:rPr>
      </w:pPr>
      <w:r w:rsidRPr="001F1935">
        <w:rPr>
          <w:rFonts w:ascii="Calibri" w:eastAsia="Times New Roman" w:hAnsi="Calibri" w:cs="Calibri"/>
        </w:rPr>
        <w:t>Multibeam echosounders (EM712, EM124)</w:t>
      </w:r>
    </w:p>
    <w:p w14:paraId="228D8B15" w14:textId="77777777" w:rsidR="00B525EF" w:rsidRPr="001F1935" w:rsidRDefault="00B525EF" w:rsidP="00B525EF">
      <w:pPr>
        <w:numPr>
          <w:ilvl w:val="0"/>
          <w:numId w:val="9"/>
        </w:numPr>
        <w:spacing w:after="0" w:line="240" w:lineRule="auto"/>
        <w:rPr>
          <w:rFonts w:ascii="Calibri" w:eastAsia="Times New Roman" w:hAnsi="Calibri" w:cs="Calibri"/>
        </w:rPr>
      </w:pPr>
      <w:r w:rsidRPr="001F1935">
        <w:rPr>
          <w:rFonts w:ascii="Calibri" w:eastAsia="Times New Roman" w:hAnsi="Calibri" w:cs="Calibri"/>
        </w:rPr>
        <w:t>Single beam (EA600)</w:t>
      </w:r>
    </w:p>
    <w:p w14:paraId="2B1D5ABB" w14:textId="77777777" w:rsidR="00B525EF" w:rsidRPr="001F1935" w:rsidRDefault="00B525EF" w:rsidP="00B525EF">
      <w:pPr>
        <w:numPr>
          <w:ilvl w:val="0"/>
          <w:numId w:val="9"/>
        </w:numPr>
        <w:spacing w:after="0" w:line="240" w:lineRule="auto"/>
        <w:rPr>
          <w:rFonts w:ascii="Calibri" w:eastAsia="Times New Roman" w:hAnsi="Calibri" w:cs="Calibri"/>
        </w:rPr>
      </w:pPr>
      <w:r w:rsidRPr="001F1935">
        <w:rPr>
          <w:rFonts w:ascii="Calibri" w:eastAsia="Times New Roman" w:hAnsi="Calibri" w:cs="Calibri"/>
        </w:rPr>
        <w:t>Sub-bottom profiler (TOPAS PS18)</w:t>
      </w:r>
    </w:p>
    <w:p w14:paraId="202E70F5" w14:textId="77777777" w:rsidR="00B525EF" w:rsidRPr="001F1935" w:rsidRDefault="00B525EF" w:rsidP="00B525EF">
      <w:pPr>
        <w:spacing w:after="0" w:line="240" w:lineRule="auto"/>
        <w:rPr>
          <w:rFonts w:ascii="Calibri" w:eastAsia="Times New Roman" w:hAnsi="Calibri" w:cs="Calibri"/>
        </w:rPr>
      </w:pPr>
      <w:r w:rsidRPr="001F1935">
        <w:rPr>
          <w:rFonts w:ascii="Calibri" w:eastAsia="Times New Roman" w:hAnsi="Calibri" w:cs="Calibri"/>
        </w:rPr>
        <w:t>The SWAN system does not interact with military, commercial, or restricted instrumentation.</w:t>
      </w:r>
    </w:p>
    <w:p w14:paraId="30B0233F" w14:textId="77777777"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lastRenderedPageBreak/>
        <w:t>5.3 Data Handling</w:t>
      </w:r>
    </w:p>
    <w:p w14:paraId="70450339" w14:textId="77777777" w:rsidR="00B525EF" w:rsidRPr="001F1935" w:rsidRDefault="00B525EF" w:rsidP="00B525EF">
      <w:pPr>
        <w:numPr>
          <w:ilvl w:val="0"/>
          <w:numId w:val="10"/>
        </w:numPr>
        <w:spacing w:after="0" w:line="240" w:lineRule="auto"/>
        <w:rPr>
          <w:rFonts w:ascii="Calibri" w:eastAsia="Times New Roman" w:hAnsi="Calibri" w:cs="Calibri"/>
        </w:rPr>
      </w:pPr>
      <w:r w:rsidRPr="001F1935">
        <w:rPr>
          <w:rFonts w:ascii="Calibri" w:eastAsia="Times New Roman" w:hAnsi="Calibri" w:cs="Calibri"/>
        </w:rPr>
        <w:t>All raw CSEM data remain under MBARI control.</w:t>
      </w:r>
    </w:p>
    <w:p w14:paraId="22998BA8" w14:textId="4F60A90F" w:rsidR="00B525EF" w:rsidRPr="001F1935" w:rsidRDefault="00B525EF" w:rsidP="00B525EF">
      <w:pPr>
        <w:numPr>
          <w:ilvl w:val="0"/>
          <w:numId w:val="10"/>
        </w:numPr>
        <w:spacing w:after="0" w:line="240" w:lineRule="auto"/>
        <w:rPr>
          <w:rFonts w:ascii="Calibri" w:eastAsia="Times New Roman" w:hAnsi="Calibri" w:cs="Calibri"/>
        </w:rPr>
      </w:pPr>
      <w:r w:rsidRPr="001F1935">
        <w:rPr>
          <w:rFonts w:ascii="Calibri" w:eastAsia="Times New Roman" w:hAnsi="Calibri" w:cs="Calibri"/>
        </w:rPr>
        <w:t>Processed data will be shared only with approved scientific collaborators under the cruise data-policy framework.</w:t>
      </w:r>
      <w:r w:rsidR="00076012">
        <w:rPr>
          <w:rFonts w:ascii="Calibri" w:eastAsia="Times New Roman" w:hAnsi="Calibri" w:cs="Calibri"/>
        </w:rPr>
        <w:br/>
      </w:r>
    </w:p>
    <w:p w14:paraId="778F7FB9" w14:textId="4A4296F0"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t>6. End of Mission and Return of the Commodity to the United States</w:t>
      </w:r>
      <w:r w:rsidR="00076012">
        <w:rPr>
          <w:rFonts w:ascii="Calibri" w:eastAsia="Times New Roman" w:hAnsi="Calibri" w:cs="Calibri"/>
          <w:b/>
          <w:bCs/>
        </w:rPr>
        <w:br/>
      </w:r>
    </w:p>
    <w:p w14:paraId="5723D84A" w14:textId="77777777"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t>6.1 Offloading in Punta Arenas (from 4 February 2026 onwards)</w:t>
      </w:r>
    </w:p>
    <w:p w14:paraId="152D60EF" w14:textId="6C692650" w:rsidR="00B525EF" w:rsidRPr="001F1935" w:rsidRDefault="00B525EF" w:rsidP="00B525EF">
      <w:pPr>
        <w:numPr>
          <w:ilvl w:val="0"/>
          <w:numId w:val="11"/>
        </w:numPr>
        <w:spacing w:after="0" w:line="240" w:lineRule="auto"/>
        <w:rPr>
          <w:rFonts w:ascii="Calibri" w:eastAsia="Times New Roman" w:hAnsi="Calibri" w:cs="Calibri"/>
        </w:rPr>
      </w:pPr>
      <w:r w:rsidRPr="001F1935">
        <w:rPr>
          <w:rFonts w:ascii="Calibri" w:eastAsia="Times New Roman" w:hAnsi="Calibri" w:cs="Calibri"/>
        </w:rPr>
        <w:t xml:space="preserve">After completion of scientific activities, the SWAN CSEM system will be placed in locked cases </w:t>
      </w:r>
      <w:r w:rsidR="00076012">
        <w:rPr>
          <w:rFonts w:ascii="Calibri" w:eastAsia="Times New Roman" w:hAnsi="Calibri" w:cs="Calibri"/>
        </w:rPr>
        <w:t xml:space="preserve">by MBARI personnel </w:t>
      </w:r>
      <w:r w:rsidRPr="001F1935">
        <w:rPr>
          <w:rFonts w:ascii="Calibri" w:eastAsia="Times New Roman" w:hAnsi="Calibri" w:cs="Calibri"/>
        </w:rPr>
        <w:t>and offloaded at Punta Arenas.</w:t>
      </w:r>
    </w:p>
    <w:p w14:paraId="08EC6055" w14:textId="18EFC0ED" w:rsidR="00B525EF" w:rsidRPr="001F1935" w:rsidRDefault="00B525EF" w:rsidP="00B525EF">
      <w:pPr>
        <w:numPr>
          <w:ilvl w:val="0"/>
          <w:numId w:val="11"/>
        </w:numPr>
        <w:spacing w:after="0" w:line="240" w:lineRule="auto"/>
        <w:rPr>
          <w:rFonts w:ascii="Calibri" w:eastAsia="Times New Roman" w:hAnsi="Calibri" w:cs="Calibri"/>
        </w:rPr>
      </w:pPr>
      <w:r w:rsidRPr="001F1935">
        <w:rPr>
          <w:rFonts w:ascii="Calibri" w:eastAsia="Times New Roman" w:hAnsi="Calibri" w:cs="Calibri"/>
        </w:rPr>
        <w:t>Custody transfers back to the vessel agent under MBARI supervision.</w:t>
      </w:r>
      <w:r w:rsidR="00076012">
        <w:rPr>
          <w:rFonts w:ascii="Calibri" w:eastAsia="Times New Roman" w:hAnsi="Calibri" w:cs="Calibri"/>
        </w:rPr>
        <w:br/>
      </w:r>
    </w:p>
    <w:p w14:paraId="6F38567F" w14:textId="77777777"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t>6.2 Return Logistics</w:t>
      </w:r>
    </w:p>
    <w:p w14:paraId="5F5B3A20" w14:textId="77777777" w:rsidR="00B525EF" w:rsidRPr="001F1935" w:rsidRDefault="00B525EF" w:rsidP="00B525EF">
      <w:pPr>
        <w:numPr>
          <w:ilvl w:val="0"/>
          <w:numId w:val="12"/>
        </w:numPr>
        <w:spacing w:after="0" w:line="240" w:lineRule="auto"/>
        <w:rPr>
          <w:rFonts w:ascii="Calibri" w:eastAsia="Times New Roman" w:hAnsi="Calibri" w:cs="Calibri"/>
        </w:rPr>
      </w:pPr>
      <w:r w:rsidRPr="001F1935">
        <w:rPr>
          <w:rFonts w:ascii="Calibri" w:eastAsia="Times New Roman" w:hAnsi="Calibri" w:cs="Calibri"/>
        </w:rPr>
        <w:t>The SWAN CSEM system will be packed for international return shipment.</w:t>
      </w:r>
    </w:p>
    <w:p w14:paraId="49D1BE5B" w14:textId="77777777" w:rsidR="00B525EF" w:rsidRPr="001F1935" w:rsidRDefault="00B525EF" w:rsidP="00B525EF">
      <w:pPr>
        <w:numPr>
          <w:ilvl w:val="0"/>
          <w:numId w:val="12"/>
        </w:numPr>
        <w:spacing w:after="0" w:line="240" w:lineRule="auto"/>
        <w:rPr>
          <w:rFonts w:ascii="Calibri" w:eastAsia="Times New Roman" w:hAnsi="Calibri" w:cs="Calibri"/>
        </w:rPr>
      </w:pPr>
      <w:r w:rsidRPr="001F1935">
        <w:rPr>
          <w:rFonts w:ascii="Calibri" w:eastAsia="Times New Roman" w:hAnsi="Calibri" w:cs="Calibri"/>
        </w:rPr>
        <w:t>The intended return route is:</w:t>
      </w:r>
    </w:p>
    <w:p w14:paraId="0E809602" w14:textId="40C9134C" w:rsidR="00B525EF" w:rsidRPr="007B5D73" w:rsidRDefault="00B525EF" w:rsidP="00B525EF">
      <w:pPr>
        <w:numPr>
          <w:ilvl w:val="1"/>
          <w:numId w:val="12"/>
        </w:numPr>
        <w:spacing w:after="0" w:line="240" w:lineRule="auto"/>
        <w:rPr>
          <w:rFonts w:ascii="Calibri" w:eastAsia="Times New Roman" w:hAnsi="Calibri" w:cs="Calibri"/>
          <w:lang w:val="it-IT"/>
        </w:rPr>
      </w:pPr>
      <w:r w:rsidRPr="007B5D73">
        <w:rPr>
          <w:rFonts w:ascii="Calibri" w:eastAsia="Times New Roman" w:hAnsi="Calibri" w:cs="Calibri"/>
          <w:lang w:val="it-IT"/>
        </w:rPr>
        <w:t>Punta Arenas → MBARI (United States)</w:t>
      </w:r>
      <w:r w:rsidR="00076012">
        <w:rPr>
          <w:rFonts w:ascii="Calibri" w:eastAsia="Times New Roman" w:hAnsi="Calibri" w:cs="Calibri"/>
          <w:lang w:val="it-IT"/>
        </w:rPr>
        <w:br/>
      </w:r>
    </w:p>
    <w:p w14:paraId="7607823F" w14:textId="77777777" w:rsidR="00B525EF" w:rsidRPr="001F1935" w:rsidRDefault="00B525EF" w:rsidP="00B525EF">
      <w:pPr>
        <w:spacing w:after="0" w:line="240" w:lineRule="auto"/>
        <w:rPr>
          <w:rFonts w:ascii="Calibri" w:eastAsia="Times New Roman" w:hAnsi="Calibri" w:cs="Calibri"/>
          <w:b/>
          <w:bCs/>
        </w:rPr>
      </w:pPr>
      <w:r w:rsidRPr="001F1935">
        <w:rPr>
          <w:rFonts w:ascii="Calibri" w:eastAsia="Times New Roman" w:hAnsi="Calibri" w:cs="Calibri"/>
          <w:b/>
          <w:bCs/>
        </w:rPr>
        <w:t>7. End of Transaction</w:t>
      </w:r>
    </w:p>
    <w:p w14:paraId="191C9B95" w14:textId="77777777" w:rsidR="00B525EF" w:rsidRPr="001F1935" w:rsidRDefault="00B525EF" w:rsidP="00B525EF">
      <w:pPr>
        <w:spacing w:after="0" w:line="240" w:lineRule="auto"/>
        <w:rPr>
          <w:rFonts w:ascii="Calibri" w:eastAsia="Times New Roman" w:hAnsi="Calibri" w:cs="Calibri"/>
        </w:rPr>
      </w:pPr>
      <w:r w:rsidRPr="001F1935">
        <w:rPr>
          <w:rFonts w:ascii="Calibri" w:eastAsia="Times New Roman" w:hAnsi="Calibri" w:cs="Calibri"/>
        </w:rPr>
        <w:t>The transaction concludes once the SWAN CSEM system is back at MBARI. No components will remain abroad beyond the duration of their authorized scientific analyses.</w:t>
      </w:r>
    </w:p>
    <w:p w14:paraId="79895DCB" w14:textId="77777777" w:rsidR="00B525EF" w:rsidRPr="009E4A08" w:rsidRDefault="00B525EF" w:rsidP="00B525EF">
      <w:pPr>
        <w:rPr>
          <w:highlight w:val="green"/>
        </w:rPr>
      </w:pPr>
    </w:p>
    <w:p w14:paraId="4236307F" w14:textId="77777777" w:rsidR="00B525EF" w:rsidRPr="007B5D73" w:rsidRDefault="00B525EF" w:rsidP="00076012">
      <w:pPr>
        <w:pStyle w:val="NormalWeb"/>
        <w:spacing w:before="0" w:beforeAutospacing="0" w:after="0" w:afterAutospacing="0"/>
        <w:ind w:left="360"/>
        <w:rPr>
          <w:rFonts w:asciiTheme="minorHAnsi" w:hAnsiTheme="minorHAnsi" w:cstheme="minorHAnsi"/>
        </w:rPr>
      </w:pPr>
      <w:r w:rsidRPr="007B5D73">
        <w:rPr>
          <w:rFonts w:asciiTheme="minorHAnsi" w:eastAsiaTheme="minorHAnsi" w:hAnsiTheme="minorHAnsi" w:cstheme="minorHAnsi"/>
          <w:noProof/>
          <w:sz w:val="22"/>
          <w:szCs w:val="22"/>
          <w:highlight w:val="green"/>
        </w:rPr>
        <w:lastRenderedPageBreak/>
        <w:drawing>
          <wp:inline distT="0" distB="0" distL="0" distR="0" wp14:anchorId="01582985" wp14:editId="2E3D80B9">
            <wp:extent cx="5727700" cy="44323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7700" cy="4432300"/>
                    </a:xfrm>
                    <a:prstGeom prst="rect">
                      <a:avLst/>
                    </a:prstGeom>
                    <a:noFill/>
                    <a:ln>
                      <a:noFill/>
                    </a:ln>
                  </pic:spPr>
                </pic:pic>
              </a:graphicData>
            </a:graphic>
          </wp:inline>
        </w:drawing>
      </w:r>
      <w:r w:rsidRPr="007B5D73">
        <w:rPr>
          <w:rFonts w:asciiTheme="minorHAnsi" w:hAnsiTheme="minorHAnsi" w:cstheme="minorHAnsi"/>
          <w:color w:val="000000"/>
        </w:rPr>
        <w:t>Figure 1: The map shows potential transects. Only two orange transects and two yellow transects will be surveyed during the expedition.</w:t>
      </w:r>
    </w:p>
    <w:p w14:paraId="33EF5413" w14:textId="77777777" w:rsidR="00B525EF" w:rsidRPr="001F1935" w:rsidRDefault="00B525EF" w:rsidP="00B525EF">
      <w:pPr>
        <w:rPr>
          <w:highlight w:val="green"/>
        </w:rPr>
      </w:pPr>
    </w:p>
    <w:p w14:paraId="774BEB3B" w14:textId="77777777" w:rsidR="00B525EF" w:rsidRDefault="00B525EF"/>
    <w:p w14:paraId="605FE738" w14:textId="77777777" w:rsidR="00B525EF" w:rsidRDefault="00B525EF"/>
    <w:sectPr w:rsidR="00B525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C291C"/>
    <w:multiLevelType w:val="multilevel"/>
    <w:tmpl w:val="B782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862EC"/>
    <w:multiLevelType w:val="hybridMultilevel"/>
    <w:tmpl w:val="78946632"/>
    <w:lvl w:ilvl="0" w:tplc="0C84618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80DDF"/>
    <w:multiLevelType w:val="multilevel"/>
    <w:tmpl w:val="9B14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00A87"/>
    <w:multiLevelType w:val="multilevel"/>
    <w:tmpl w:val="1CC2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236B5"/>
    <w:multiLevelType w:val="multilevel"/>
    <w:tmpl w:val="EAD0D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82554"/>
    <w:multiLevelType w:val="multilevel"/>
    <w:tmpl w:val="A3D8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523C2"/>
    <w:multiLevelType w:val="multilevel"/>
    <w:tmpl w:val="11DE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365895"/>
    <w:multiLevelType w:val="multilevel"/>
    <w:tmpl w:val="3B62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6F3615"/>
    <w:multiLevelType w:val="multilevel"/>
    <w:tmpl w:val="23D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06655D"/>
    <w:multiLevelType w:val="multilevel"/>
    <w:tmpl w:val="D4E4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CA4D9B"/>
    <w:multiLevelType w:val="multilevel"/>
    <w:tmpl w:val="EDFA3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1A41B1"/>
    <w:multiLevelType w:val="multilevel"/>
    <w:tmpl w:val="B33C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0263542">
    <w:abstractNumId w:val="1"/>
  </w:num>
  <w:num w:numId="2" w16cid:durableId="1285579841">
    <w:abstractNumId w:val="5"/>
  </w:num>
  <w:num w:numId="3" w16cid:durableId="1209880910">
    <w:abstractNumId w:val="6"/>
  </w:num>
  <w:num w:numId="4" w16cid:durableId="699551768">
    <w:abstractNumId w:val="9"/>
  </w:num>
  <w:num w:numId="5" w16cid:durableId="1937517781">
    <w:abstractNumId w:val="4"/>
  </w:num>
  <w:num w:numId="6" w16cid:durableId="1371882322">
    <w:abstractNumId w:val="8"/>
  </w:num>
  <w:num w:numId="7" w16cid:durableId="860782425">
    <w:abstractNumId w:val="7"/>
  </w:num>
  <w:num w:numId="8" w16cid:durableId="166485446">
    <w:abstractNumId w:val="2"/>
  </w:num>
  <w:num w:numId="9" w16cid:durableId="581066760">
    <w:abstractNumId w:val="0"/>
  </w:num>
  <w:num w:numId="10" w16cid:durableId="1064644033">
    <w:abstractNumId w:val="3"/>
  </w:num>
  <w:num w:numId="11" w16cid:durableId="273947127">
    <w:abstractNumId w:val="11"/>
  </w:num>
  <w:num w:numId="12" w16cid:durableId="12875902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5EF"/>
    <w:rsid w:val="00076012"/>
    <w:rsid w:val="00452F64"/>
    <w:rsid w:val="005E1127"/>
    <w:rsid w:val="00702EB0"/>
    <w:rsid w:val="00B525EF"/>
    <w:rsid w:val="00B52C8F"/>
    <w:rsid w:val="00CB177B"/>
    <w:rsid w:val="00D0403C"/>
    <w:rsid w:val="00D516BE"/>
    <w:rsid w:val="00D940EA"/>
    <w:rsid w:val="00DD13D9"/>
    <w:rsid w:val="00E406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137B430"/>
  <w15:chartTrackingRefBased/>
  <w15:docId w15:val="{F98EB7B7-312F-0743-96C6-98952408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25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25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25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25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25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25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5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5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5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5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25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25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25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25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2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5EF"/>
    <w:rPr>
      <w:rFonts w:eastAsiaTheme="majorEastAsia" w:cstheme="majorBidi"/>
      <w:color w:val="272727" w:themeColor="text1" w:themeTint="D8"/>
    </w:rPr>
  </w:style>
  <w:style w:type="paragraph" w:styleId="Title">
    <w:name w:val="Title"/>
    <w:basedOn w:val="Normal"/>
    <w:next w:val="Normal"/>
    <w:link w:val="TitleChar"/>
    <w:uiPriority w:val="10"/>
    <w:qFormat/>
    <w:rsid w:val="00B525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5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5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5EF"/>
    <w:pPr>
      <w:spacing w:before="160"/>
      <w:jc w:val="center"/>
    </w:pPr>
    <w:rPr>
      <w:i/>
      <w:iCs/>
      <w:color w:val="404040" w:themeColor="text1" w:themeTint="BF"/>
    </w:rPr>
  </w:style>
  <w:style w:type="character" w:customStyle="1" w:styleId="QuoteChar">
    <w:name w:val="Quote Char"/>
    <w:basedOn w:val="DefaultParagraphFont"/>
    <w:link w:val="Quote"/>
    <w:uiPriority w:val="29"/>
    <w:rsid w:val="00B525EF"/>
    <w:rPr>
      <w:i/>
      <w:iCs/>
      <w:color w:val="404040" w:themeColor="text1" w:themeTint="BF"/>
    </w:rPr>
  </w:style>
  <w:style w:type="paragraph" w:styleId="ListParagraph">
    <w:name w:val="List Paragraph"/>
    <w:basedOn w:val="Normal"/>
    <w:uiPriority w:val="34"/>
    <w:qFormat/>
    <w:rsid w:val="00B525EF"/>
    <w:pPr>
      <w:ind w:left="720"/>
      <w:contextualSpacing/>
    </w:pPr>
  </w:style>
  <w:style w:type="character" w:styleId="IntenseEmphasis">
    <w:name w:val="Intense Emphasis"/>
    <w:basedOn w:val="DefaultParagraphFont"/>
    <w:uiPriority w:val="21"/>
    <w:qFormat/>
    <w:rsid w:val="00B525EF"/>
    <w:rPr>
      <w:i/>
      <w:iCs/>
      <w:color w:val="2F5496" w:themeColor="accent1" w:themeShade="BF"/>
    </w:rPr>
  </w:style>
  <w:style w:type="paragraph" w:styleId="IntenseQuote">
    <w:name w:val="Intense Quote"/>
    <w:basedOn w:val="Normal"/>
    <w:next w:val="Normal"/>
    <w:link w:val="IntenseQuoteChar"/>
    <w:uiPriority w:val="30"/>
    <w:qFormat/>
    <w:rsid w:val="00B525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25EF"/>
    <w:rPr>
      <w:i/>
      <w:iCs/>
      <w:color w:val="2F5496" w:themeColor="accent1" w:themeShade="BF"/>
    </w:rPr>
  </w:style>
  <w:style w:type="character" w:styleId="IntenseReference">
    <w:name w:val="Intense Reference"/>
    <w:basedOn w:val="DefaultParagraphFont"/>
    <w:uiPriority w:val="32"/>
    <w:qFormat/>
    <w:rsid w:val="00B525EF"/>
    <w:rPr>
      <w:b/>
      <w:bCs/>
      <w:smallCaps/>
      <w:color w:val="2F5496" w:themeColor="accent1" w:themeShade="BF"/>
      <w:spacing w:val="5"/>
    </w:rPr>
  </w:style>
  <w:style w:type="paragraph" w:styleId="NormalWeb">
    <w:name w:val="Normal (Web)"/>
    <w:basedOn w:val="Normal"/>
    <w:uiPriority w:val="99"/>
    <w:semiHidden/>
    <w:unhideWhenUsed/>
    <w:rsid w:val="00B525EF"/>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styleId="CommentReference">
    <w:name w:val="annotation reference"/>
    <w:basedOn w:val="DefaultParagraphFont"/>
    <w:uiPriority w:val="99"/>
    <w:semiHidden/>
    <w:unhideWhenUsed/>
    <w:rsid w:val="00B525EF"/>
    <w:rPr>
      <w:sz w:val="16"/>
      <w:szCs w:val="16"/>
    </w:rPr>
  </w:style>
  <w:style w:type="paragraph" w:styleId="CommentText">
    <w:name w:val="annotation text"/>
    <w:basedOn w:val="Normal"/>
    <w:link w:val="CommentTextChar"/>
    <w:uiPriority w:val="99"/>
    <w:semiHidden/>
    <w:unhideWhenUsed/>
    <w:rsid w:val="00B525EF"/>
    <w:pPr>
      <w:spacing w:after="200" w:line="240" w:lineRule="auto"/>
    </w:pPr>
    <w:rPr>
      <w:rFonts w:eastAsiaTheme="minorHAnsi"/>
      <w:kern w:val="0"/>
      <w:sz w:val="20"/>
      <w:szCs w:val="20"/>
      <w:lang w:eastAsia="en-US"/>
      <w14:ligatures w14:val="none"/>
    </w:rPr>
  </w:style>
  <w:style w:type="character" w:customStyle="1" w:styleId="CommentTextChar">
    <w:name w:val="Comment Text Char"/>
    <w:basedOn w:val="DefaultParagraphFont"/>
    <w:link w:val="CommentText"/>
    <w:uiPriority w:val="99"/>
    <w:semiHidden/>
    <w:rsid w:val="00B525EF"/>
    <w:rPr>
      <w:rFonts w:eastAsiaTheme="minorHAnsi"/>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Allen</dc:creator>
  <cp:keywords/>
  <dc:description/>
  <cp:lastModifiedBy>Mandy Allen</cp:lastModifiedBy>
  <cp:revision>2</cp:revision>
  <dcterms:created xsi:type="dcterms:W3CDTF">2025-12-08T23:06:00Z</dcterms:created>
  <dcterms:modified xsi:type="dcterms:W3CDTF">2025-12-08T23:18:00Z</dcterms:modified>
</cp:coreProperties>
</file>