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A1CF7" w14:textId="5F1EC6F0" w:rsidR="00887630" w:rsidRDefault="00774B2B" w:rsidP="009863F0">
      <w:pPr>
        <w:numPr>
          <w:ilvl w:val="0"/>
          <w:numId w:val="3"/>
        </w:numPr>
        <w:shd w:val="clear" w:color="auto" w:fill="D9D9D9"/>
        <w:tabs>
          <w:tab w:val="clear" w:pos="1080"/>
          <w:tab w:val="num" w:pos="360"/>
        </w:tabs>
        <w:ind w:left="0"/>
        <w:rPr>
          <w:b/>
        </w:rPr>
      </w:pPr>
      <w:bookmarkStart w:id="0" w:name="_GoBack"/>
      <w:bookmarkEnd w:id="0"/>
      <w:r w:rsidRPr="00774B2B">
        <w:rPr>
          <w:b/>
        </w:rPr>
        <w:t>ABSTRACT</w:t>
      </w:r>
      <w:r w:rsidR="00621211">
        <w:rPr>
          <w:b/>
        </w:rPr>
        <w:t xml:space="preserve"> (a</w:t>
      </w:r>
      <w:r w:rsidR="00AB66A4">
        <w:rPr>
          <w:b/>
        </w:rPr>
        <w:t>ll projects</w:t>
      </w:r>
      <w:r w:rsidR="00621211">
        <w:rPr>
          <w:b/>
        </w:rPr>
        <w:t>)</w:t>
      </w:r>
    </w:p>
    <w:p w14:paraId="608CAB43" w14:textId="2A7B5838" w:rsidR="00A3012E" w:rsidRPr="00A3012E" w:rsidRDefault="00A3012E" w:rsidP="00A3012E">
      <w:bookmarkStart w:id="1" w:name="_Hlk75781900"/>
      <w:r w:rsidRPr="00A3012E">
        <w:t>The continental shelves and slopes comprise only 5 to 10 % of the ocean’s area, but they contribute half of the global new primary production (</w:t>
      </w:r>
      <w:proofErr w:type="spellStart"/>
      <w:r w:rsidRPr="00A3012E">
        <w:t>Benway</w:t>
      </w:r>
      <w:proofErr w:type="spellEnd"/>
      <w:r w:rsidRPr="00A3012E">
        <w:t xml:space="preserve"> et al., 201</w:t>
      </w:r>
      <w:r w:rsidR="00DF3258">
        <w:t>6</w:t>
      </w:r>
      <w:r w:rsidRPr="00A3012E">
        <w:t>). Variability in this new primary production can be a major control on air-sea CO2 flux (Evans et al., 2015). The disproportionately high new primary production in coastal systems supports the vast majority of global fish production (</w:t>
      </w:r>
      <w:proofErr w:type="spellStart"/>
      <w:r w:rsidRPr="00A3012E">
        <w:t>Ryther</w:t>
      </w:r>
      <w:proofErr w:type="spellEnd"/>
      <w:r w:rsidRPr="00A3012E">
        <w:t xml:space="preserve">, 1969), which may be significantly impacted by future climate change (Brander, 2007). Other than remote sensing of ocean color, there are no observing systems that provide a synoptic view of ecosystem processes such as new or net primary production in coastal systems. As a result, the </w:t>
      </w:r>
      <w:r w:rsidR="00D57C88">
        <w:t xml:space="preserve">CCARS Science Plan For Carbon Cycle Research </w:t>
      </w:r>
      <w:r w:rsidRPr="00A3012E">
        <w:t>(</w:t>
      </w:r>
      <w:proofErr w:type="spellStart"/>
      <w:r w:rsidRPr="00A3012E">
        <w:t>Benway</w:t>
      </w:r>
      <w:proofErr w:type="spellEnd"/>
      <w:r w:rsidRPr="00A3012E">
        <w:t xml:space="preserve"> et al., 201</w:t>
      </w:r>
      <w:r w:rsidR="00D57C88">
        <w:t>4</w:t>
      </w:r>
      <w:r w:rsidRPr="00A3012E">
        <w:t xml:space="preserve">)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 scale processes and quantify their impacts on coastal carbon budgets.” Coastal profiling floats also provide an efficient means to monitor regional signals of ocean acidification (Chan et al., 2017) in open, shelf waters. </w:t>
      </w:r>
    </w:p>
    <w:p w14:paraId="0F9309DA" w14:textId="77777777" w:rsidR="00A3012E" w:rsidRPr="00A3012E" w:rsidRDefault="00A3012E" w:rsidP="00A3012E"/>
    <w:p w14:paraId="16EDA1E0" w14:textId="33F1132F" w:rsidR="00A3012E" w:rsidRPr="00A3012E" w:rsidRDefault="00A3012E" w:rsidP="00A3012E">
      <w:r w:rsidRPr="00A3012E">
        <w:t>The CPF is designed specifically to provide a robust, highly capable, reasonabl</w:t>
      </w:r>
      <w:r w:rsidR="00D57C88">
        <w:t>y</w:t>
      </w:r>
      <w:r w:rsidRPr="00A3012E">
        <w:t xml:space="preserve"> configurable </w:t>
      </w:r>
      <w:r w:rsidR="00D57C88">
        <w:t xml:space="preserve">and reasonably affordable </w:t>
      </w:r>
      <w:r w:rsidRPr="00A3012E">
        <w:t xml:space="preserve">array of observational platforms </w:t>
      </w:r>
      <w:r w:rsidR="00D57C88">
        <w:t xml:space="preserve">to </w:t>
      </w:r>
      <w:r w:rsidRPr="00A3012E">
        <w:t>support of the type of coastal science research described above.  In this proposal, we are working on applying the current fleet of 3 CPFs to science tasks directly related to the MBARI Chem Sensor lab science mission and to related projects outside our lab.</w:t>
      </w:r>
    </w:p>
    <w:bookmarkEnd w:id="1"/>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978785C"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1E105CFA" w14:textId="77777777" w:rsidR="00A3012E" w:rsidRDefault="00A3012E" w:rsidP="00A3012E">
      <w:r>
        <w:t>Please see the abstract above.</w:t>
      </w:r>
    </w:p>
    <w:p w14:paraId="4DAE4873" w14:textId="77777777" w:rsidR="00A3012E" w:rsidRPr="00A3012E" w:rsidRDefault="00A3012E" w:rsidP="00A3012E">
      <w:pPr>
        <w:shd w:val="clear" w:color="auto" w:fill="FFFFFF"/>
        <w:rPr>
          <w:rFonts w:eastAsia="Times New Roman"/>
          <w:i/>
          <w:iCs/>
          <w:color w:val="000000"/>
          <w:sz w:val="22"/>
          <w:szCs w:val="22"/>
          <w:lang w:eastAsia="en-US"/>
        </w:rPr>
      </w:pPr>
    </w:p>
    <w:p w14:paraId="2D39338E" w14:textId="74843B0E"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6C55A5E5" w14:textId="77777777" w:rsidR="00A3012E" w:rsidRPr="004C07C5" w:rsidRDefault="00A3012E" w:rsidP="00A3012E">
      <w:r w:rsidRPr="00A3012E">
        <w:rPr>
          <w:rFonts w:eastAsia="Times New Roman"/>
          <w:iCs/>
          <w:color w:val="000000"/>
          <w:sz w:val="22"/>
          <w:szCs w:val="22"/>
          <w:lang w:eastAsia="en-US"/>
        </w:rPr>
        <w:t xml:space="preserve">This project is very much in line with MBARI’s 2011 strategic plan, the technology roadmap and the Packard Foundation’s Ocean Grantmaking Program. </w:t>
      </w:r>
      <w:r w:rsidRPr="004C07C5">
        <w:t xml:space="preserve">The 3 overarching goals from the 2011 strategic plan can be summarized as “Develop or adapt innovative technologies … to explore and understand how natural ocean systems operate and how they respond to natural and anthropogenic change …[and] transfer the knowledge gained, solutions devised, and the technology developed to communities outside of MBARI”.  The CPF extends existing profiling float technology to allow a comprehensive suite of biogeochemical instruments to be deployed in the coastal zone and upper 500 meters of the world’s oceans in order to understand the effects of a warming climate, increased use of nitrogen fertilizers, acidification, loss of sea ice, decreasing oxygen concentrations and a variety of other natural and anthropogenically driven processes. The end goal for the CPF </w:t>
      </w:r>
      <w:r>
        <w:t xml:space="preserve">project </w:t>
      </w:r>
      <w:r w:rsidRPr="004C07C5">
        <w:t xml:space="preserve">is to transfer the technology to a commercial partner making it available to </w:t>
      </w:r>
      <w:r>
        <w:t xml:space="preserve">the </w:t>
      </w:r>
      <w:r w:rsidRPr="004C07C5">
        <w:t>entire oceanographic community.</w:t>
      </w:r>
    </w:p>
    <w:p w14:paraId="2CCA3AFA" w14:textId="77777777" w:rsidR="00A3012E" w:rsidRDefault="00A3012E" w:rsidP="00A3012E">
      <w:pPr>
        <w:pStyle w:val="ListParagraph"/>
      </w:pPr>
    </w:p>
    <w:p w14:paraId="43218B51" w14:textId="77777777" w:rsidR="00A3012E" w:rsidRDefault="00A3012E" w:rsidP="00A3012E">
      <w:pPr>
        <w:rPr>
          <w:bCs/>
          <w:iCs/>
          <w:sz w:val="20"/>
          <w:szCs w:val="20"/>
        </w:rPr>
      </w:pPr>
      <w:r w:rsidRPr="004C07C5">
        <w:t>The CPF fits in 2 of the 3 initiatives identified in the Technical Roadmap, “Taking the laboratory into the ocean” and “Advancing a persistent presence” and the “Biogeochemical cycles” challenge also identified in the Technology Roadmap.</w:t>
      </w:r>
    </w:p>
    <w:p w14:paraId="55E4D76D" w14:textId="77777777" w:rsidR="00A3012E" w:rsidRDefault="00A3012E" w:rsidP="00A3012E"/>
    <w:p w14:paraId="68BB6B7F" w14:textId="78EA7704" w:rsidR="00A3012E" w:rsidRPr="00A3012E" w:rsidRDefault="00A3012E" w:rsidP="00A3012E">
      <w:pPr>
        <w:rPr>
          <w:bCs/>
          <w:iCs/>
          <w:sz w:val="20"/>
          <w:szCs w:val="20"/>
        </w:rPr>
      </w:pPr>
      <w:r w:rsidRPr="009161B9">
        <w:t xml:space="preserve">The David &amp; Lucille Packard Foundation U.S. West Coast Strategic Plan identifies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to make science driven, ecosystem-based policy decisions.  </w:t>
      </w:r>
    </w:p>
    <w:p w14:paraId="0FDA82D2" w14:textId="77777777" w:rsidR="00A3012E" w:rsidRPr="00A3012E" w:rsidRDefault="00A3012E" w:rsidP="00A3012E">
      <w:pPr>
        <w:shd w:val="clear" w:color="auto" w:fill="FFFFFF"/>
        <w:rPr>
          <w:rFonts w:eastAsia="Times New Roman"/>
          <w:i/>
          <w:iCs/>
          <w:color w:val="000000"/>
          <w:sz w:val="22"/>
          <w:szCs w:val="22"/>
          <w:lang w:eastAsia="en-US"/>
        </w:rPr>
      </w:pPr>
    </w:p>
    <w:p w14:paraId="067B8716" w14:textId="47295DEB"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54763037" w14:textId="5B24AA3D" w:rsidR="00F9551C" w:rsidRDefault="00A102F5" w:rsidP="00A3012E">
      <w:pPr>
        <w:shd w:val="clear" w:color="auto" w:fill="FFFFFF"/>
        <w:rPr>
          <w:rFonts w:eastAsia="Times New Roman"/>
          <w:iCs/>
          <w:color w:val="000000"/>
          <w:sz w:val="22"/>
          <w:szCs w:val="22"/>
          <w:lang w:eastAsia="en-US"/>
        </w:rPr>
      </w:pPr>
      <w:r>
        <w:rPr>
          <w:rFonts w:eastAsia="Times New Roman"/>
          <w:iCs/>
          <w:color w:val="000000"/>
          <w:sz w:val="22"/>
          <w:szCs w:val="22"/>
          <w:lang w:eastAsia="en-US"/>
        </w:rPr>
        <w:t xml:space="preserve">Magdalena and </w:t>
      </w:r>
      <w:r w:rsidR="00A3012E" w:rsidRPr="00A3012E">
        <w:rPr>
          <w:rFonts w:eastAsia="Times New Roman"/>
          <w:iCs/>
          <w:color w:val="000000"/>
          <w:sz w:val="22"/>
          <w:szCs w:val="22"/>
          <w:lang w:eastAsia="en-US"/>
        </w:rPr>
        <w:t>Yui use</w:t>
      </w:r>
      <w:r>
        <w:rPr>
          <w:rFonts w:eastAsia="Times New Roman"/>
          <w:iCs/>
          <w:color w:val="000000"/>
          <w:sz w:val="22"/>
          <w:szCs w:val="22"/>
          <w:lang w:eastAsia="en-US"/>
        </w:rPr>
        <w:t>d</w:t>
      </w:r>
      <w:r w:rsidR="00A3012E" w:rsidRPr="00A3012E">
        <w:rPr>
          <w:rFonts w:eastAsia="Times New Roman"/>
          <w:iCs/>
          <w:color w:val="000000"/>
          <w:sz w:val="22"/>
          <w:szCs w:val="22"/>
          <w:lang w:eastAsia="en-US"/>
        </w:rPr>
        <w:t xml:space="preserve"> the CPF as the platform for their Mixing Rates from Autonomous Platforms in the Coastal Ocean project</w:t>
      </w:r>
      <w:r w:rsidR="00F9551C">
        <w:rPr>
          <w:rFonts w:eastAsia="Times New Roman"/>
          <w:iCs/>
          <w:color w:val="000000"/>
          <w:sz w:val="22"/>
          <w:szCs w:val="22"/>
          <w:lang w:eastAsia="en-US"/>
        </w:rPr>
        <w:t xml:space="preserve"> </w:t>
      </w:r>
      <w:r>
        <w:rPr>
          <w:rFonts w:eastAsia="Times New Roman"/>
          <w:iCs/>
          <w:color w:val="000000"/>
          <w:sz w:val="22"/>
          <w:szCs w:val="22"/>
          <w:lang w:eastAsia="en-US"/>
        </w:rPr>
        <w:t xml:space="preserve">in </w:t>
      </w:r>
      <w:r w:rsidR="00A3012E" w:rsidRPr="00A3012E">
        <w:rPr>
          <w:rFonts w:eastAsia="Times New Roman"/>
          <w:iCs/>
          <w:color w:val="000000"/>
          <w:sz w:val="22"/>
          <w:szCs w:val="22"/>
          <w:lang w:eastAsia="en-US"/>
        </w:rPr>
        <w:t>202</w:t>
      </w:r>
      <w:r w:rsidR="00F9551C">
        <w:rPr>
          <w:rFonts w:eastAsia="Times New Roman"/>
          <w:iCs/>
          <w:color w:val="000000"/>
          <w:sz w:val="22"/>
          <w:szCs w:val="22"/>
          <w:lang w:eastAsia="en-US"/>
        </w:rPr>
        <w:t>1</w:t>
      </w:r>
      <w:r w:rsidR="00A3012E" w:rsidRPr="00A3012E">
        <w:rPr>
          <w:rFonts w:eastAsia="Times New Roman"/>
          <w:iCs/>
          <w:color w:val="000000"/>
          <w:sz w:val="22"/>
          <w:szCs w:val="22"/>
          <w:lang w:eastAsia="en-US"/>
        </w:rPr>
        <w:t>.</w:t>
      </w:r>
      <w:r w:rsidRPr="00A102F5">
        <w:rPr>
          <w:rFonts w:eastAsia="Times New Roman"/>
          <w:iCs/>
          <w:color w:val="000000"/>
          <w:sz w:val="22"/>
          <w:szCs w:val="22"/>
          <w:lang w:eastAsia="en-US"/>
        </w:rPr>
        <w:t xml:space="preserve"> </w:t>
      </w:r>
      <w:r w:rsidR="00066DEE">
        <w:rPr>
          <w:rFonts w:eastAsia="Times New Roman"/>
          <w:iCs/>
          <w:color w:val="000000"/>
          <w:sz w:val="22"/>
          <w:szCs w:val="22"/>
          <w:lang w:eastAsia="en-US"/>
        </w:rPr>
        <w:t>Magdal</w:t>
      </w:r>
      <w:r w:rsidR="008C071F">
        <w:rPr>
          <w:rFonts w:eastAsia="Times New Roman"/>
          <w:iCs/>
          <w:color w:val="000000"/>
          <w:sz w:val="22"/>
          <w:szCs w:val="22"/>
          <w:lang w:eastAsia="en-US"/>
        </w:rPr>
        <w:t>e</w:t>
      </w:r>
      <w:r w:rsidR="00066DEE">
        <w:rPr>
          <w:rFonts w:eastAsia="Times New Roman"/>
          <w:iCs/>
          <w:color w:val="000000"/>
          <w:sz w:val="22"/>
          <w:szCs w:val="22"/>
          <w:lang w:eastAsia="en-US"/>
        </w:rPr>
        <w:t xml:space="preserve">na and </w:t>
      </w:r>
      <w:r>
        <w:rPr>
          <w:rFonts w:eastAsia="Times New Roman"/>
          <w:iCs/>
          <w:color w:val="000000"/>
          <w:sz w:val="22"/>
          <w:szCs w:val="22"/>
          <w:lang w:eastAsia="en-US"/>
        </w:rPr>
        <w:t xml:space="preserve">Yui expect to continue using the CPF as a platform for </w:t>
      </w:r>
      <w:r w:rsidR="008C071F">
        <w:rPr>
          <w:rFonts w:eastAsia="Times New Roman"/>
          <w:iCs/>
          <w:color w:val="000000"/>
          <w:sz w:val="22"/>
          <w:szCs w:val="22"/>
          <w:lang w:eastAsia="en-US"/>
        </w:rPr>
        <w:t>their</w:t>
      </w:r>
      <w:r>
        <w:rPr>
          <w:rFonts w:eastAsia="Times New Roman"/>
          <w:iCs/>
          <w:color w:val="000000"/>
          <w:sz w:val="22"/>
          <w:szCs w:val="22"/>
          <w:lang w:eastAsia="en-US"/>
        </w:rPr>
        <w:t xml:space="preserve"> research efforts. Colleen Durkin has several ways to use the CPF both as a sediment collection platform and as a platform for advanced imaging technologies.  </w:t>
      </w:r>
      <w:r w:rsidR="00D57C88">
        <w:rPr>
          <w:rFonts w:eastAsia="Times New Roman"/>
          <w:iCs/>
          <w:color w:val="000000"/>
          <w:sz w:val="22"/>
          <w:szCs w:val="22"/>
          <w:lang w:eastAsia="en-US"/>
        </w:rPr>
        <w:t xml:space="preserve">We are pleased to report that </w:t>
      </w:r>
      <w:r>
        <w:rPr>
          <w:rFonts w:eastAsia="Times New Roman"/>
          <w:iCs/>
          <w:color w:val="000000"/>
          <w:sz w:val="22"/>
          <w:szCs w:val="22"/>
          <w:lang w:eastAsia="en-US"/>
        </w:rPr>
        <w:t>Collee</w:t>
      </w:r>
      <w:r w:rsidR="00FA149F">
        <w:rPr>
          <w:rFonts w:eastAsia="Times New Roman"/>
          <w:iCs/>
          <w:color w:val="000000"/>
          <w:sz w:val="22"/>
          <w:szCs w:val="22"/>
          <w:lang w:eastAsia="en-US"/>
        </w:rPr>
        <w:t>n</w:t>
      </w:r>
      <w:r>
        <w:rPr>
          <w:rFonts w:eastAsia="Times New Roman"/>
          <w:iCs/>
          <w:color w:val="000000"/>
          <w:sz w:val="22"/>
          <w:szCs w:val="22"/>
          <w:lang w:eastAsia="en-US"/>
        </w:rPr>
        <w:t xml:space="preserve"> </w:t>
      </w:r>
      <w:r w:rsidR="00D57C88">
        <w:rPr>
          <w:rFonts w:eastAsia="Times New Roman"/>
          <w:iCs/>
          <w:color w:val="000000"/>
          <w:sz w:val="22"/>
          <w:szCs w:val="22"/>
          <w:lang w:eastAsia="en-US"/>
        </w:rPr>
        <w:t xml:space="preserve">has </w:t>
      </w:r>
      <w:r>
        <w:rPr>
          <w:rFonts w:eastAsia="Times New Roman"/>
          <w:iCs/>
          <w:color w:val="000000"/>
          <w:sz w:val="22"/>
          <w:szCs w:val="22"/>
          <w:lang w:eastAsia="en-US"/>
        </w:rPr>
        <w:t xml:space="preserve">submitted an OTIC proposal using the CPF as a platform for advanced imaging technology. </w:t>
      </w:r>
      <w:r w:rsidRPr="00A3012E">
        <w:rPr>
          <w:rFonts w:eastAsia="Times New Roman"/>
          <w:iCs/>
          <w:color w:val="000000"/>
          <w:sz w:val="22"/>
          <w:szCs w:val="22"/>
          <w:lang w:eastAsia="en-US"/>
        </w:rPr>
        <w:t>Andrea</w:t>
      </w:r>
      <w:r>
        <w:rPr>
          <w:rFonts w:eastAsia="Times New Roman"/>
          <w:iCs/>
          <w:color w:val="000000"/>
          <w:sz w:val="22"/>
          <w:szCs w:val="22"/>
          <w:lang w:eastAsia="en-US"/>
        </w:rPr>
        <w:t xml:space="preserve"> Fassbender has also</w:t>
      </w:r>
      <w:r w:rsidRPr="00A3012E">
        <w:rPr>
          <w:rFonts w:eastAsia="Times New Roman"/>
          <w:iCs/>
          <w:color w:val="000000"/>
          <w:sz w:val="22"/>
          <w:szCs w:val="22"/>
          <w:lang w:eastAsia="en-US"/>
        </w:rPr>
        <w:t xml:space="preserve"> </w:t>
      </w:r>
      <w:r>
        <w:rPr>
          <w:rFonts w:eastAsia="Times New Roman"/>
          <w:iCs/>
          <w:color w:val="000000"/>
          <w:sz w:val="22"/>
          <w:szCs w:val="22"/>
          <w:lang w:eastAsia="en-US"/>
        </w:rPr>
        <w:t>indicated an interest in using</w:t>
      </w:r>
      <w:r w:rsidRPr="00A3012E">
        <w:rPr>
          <w:rFonts w:eastAsia="Times New Roman"/>
          <w:iCs/>
          <w:color w:val="000000"/>
          <w:sz w:val="22"/>
          <w:szCs w:val="22"/>
          <w:lang w:eastAsia="en-US"/>
        </w:rPr>
        <w:t xml:space="preserve"> the CPF in her research at PMEL.</w:t>
      </w:r>
      <w:r>
        <w:rPr>
          <w:rFonts w:eastAsia="Times New Roman"/>
          <w:iCs/>
          <w:color w:val="000000"/>
          <w:sz w:val="22"/>
          <w:szCs w:val="22"/>
          <w:lang w:eastAsia="en-US"/>
        </w:rPr>
        <w:t xml:space="preserve">  Thom </w:t>
      </w:r>
      <w:proofErr w:type="spellStart"/>
      <w:r>
        <w:rPr>
          <w:rFonts w:eastAsia="Times New Roman"/>
          <w:iCs/>
          <w:color w:val="000000"/>
          <w:sz w:val="22"/>
          <w:szCs w:val="22"/>
          <w:lang w:eastAsia="en-US"/>
        </w:rPr>
        <w:t>Maughn</w:t>
      </w:r>
      <w:proofErr w:type="spellEnd"/>
      <w:r>
        <w:rPr>
          <w:rFonts w:eastAsia="Times New Roman"/>
          <w:iCs/>
          <w:color w:val="000000"/>
          <w:sz w:val="22"/>
          <w:szCs w:val="22"/>
          <w:lang w:eastAsia="en-US"/>
        </w:rPr>
        <w:t xml:space="preserve"> has talked with us about putting the </w:t>
      </w:r>
      <w:proofErr w:type="spellStart"/>
      <w:r>
        <w:rPr>
          <w:rFonts w:eastAsia="Times New Roman"/>
          <w:iCs/>
          <w:color w:val="000000"/>
          <w:sz w:val="22"/>
          <w:szCs w:val="22"/>
          <w:lang w:eastAsia="en-US"/>
        </w:rPr>
        <w:t>Planktivore</w:t>
      </w:r>
      <w:proofErr w:type="spellEnd"/>
      <w:r>
        <w:rPr>
          <w:rFonts w:eastAsia="Times New Roman"/>
          <w:iCs/>
          <w:color w:val="000000"/>
          <w:sz w:val="22"/>
          <w:szCs w:val="22"/>
          <w:lang w:eastAsia="en-US"/>
        </w:rPr>
        <w:t xml:space="preserve"> on the CPF</w:t>
      </w:r>
      <w:r w:rsidR="00FA149F">
        <w:rPr>
          <w:rFonts w:eastAsia="Times New Roman"/>
          <w:iCs/>
          <w:color w:val="000000"/>
          <w:sz w:val="22"/>
          <w:szCs w:val="22"/>
          <w:lang w:eastAsia="en-US"/>
        </w:rPr>
        <w:t>.</w:t>
      </w:r>
      <w:r w:rsidRPr="00A3012E">
        <w:rPr>
          <w:rFonts w:eastAsia="Times New Roman"/>
          <w:iCs/>
          <w:color w:val="000000"/>
          <w:sz w:val="22"/>
          <w:szCs w:val="22"/>
          <w:lang w:eastAsia="en-US"/>
        </w:rPr>
        <w:t xml:space="preserve"> </w:t>
      </w:r>
      <w:r w:rsidR="00A3012E" w:rsidRPr="00A3012E">
        <w:rPr>
          <w:rFonts w:eastAsia="Times New Roman"/>
          <w:iCs/>
          <w:color w:val="000000"/>
          <w:sz w:val="22"/>
          <w:szCs w:val="22"/>
          <w:lang w:eastAsia="en-US"/>
        </w:rPr>
        <w:t xml:space="preserve"> </w:t>
      </w:r>
    </w:p>
    <w:p w14:paraId="74648181" w14:textId="77777777" w:rsidR="00F9551C" w:rsidRDefault="00F9551C" w:rsidP="00A3012E">
      <w:pPr>
        <w:shd w:val="clear" w:color="auto" w:fill="FFFFFF"/>
        <w:rPr>
          <w:rFonts w:eastAsia="Times New Roman"/>
          <w:iCs/>
          <w:color w:val="000000"/>
          <w:sz w:val="22"/>
          <w:szCs w:val="22"/>
          <w:lang w:eastAsia="en-US"/>
        </w:rPr>
      </w:pPr>
    </w:p>
    <w:p w14:paraId="4BFA08D2" w14:textId="7ACAEF07"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405B6918" w14:textId="28A3DBA6" w:rsidR="004F2729" w:rsidRDefault="00F9551C" w:rsidP="00FA149F">
      <w:pPr>
        <w:shd w:val="clear" w:color="auto" w:fill="FFFFFF"/>
        <w:rPr>
          <w:rFonts w:eastAsia="Times New Roman"/>
          <w:iCs/>
          <w:color w:val="000000"/>
          <w:sz w:val="22"/>
          <w:szCs w:val="22"/>
          <w:lang w:eastAsia="en-US"/>
        </w:rPr>
      </w:pPr>
      <w:r>
        <w:rPr>
          <w:rFonts w:eastAsia="Times New Roman"/>
          <w:iCs/>
          <w:color w:val="000000"/>
          <w:sz w:val="22"/>
          <w:szCs w:val="22"/>
          <w:lang w:eastAsia="en-US"/>
        </w:rPr>
        <w:t xml:space="preserve">By the end of 2023 we expect to have a fleet of 3 CPFs being used on an operational basis by the Chem Sensor and </w:t>
      </w:r>
      <w:r w:rsidR="009648E5">
        <w:rPr>
          <w:rFonts w:eastAsia="Times New Roman"/>
          <w:iCs/>
          <w:color w:val="000000"/>
          <w:sz w:val="22"/>
          <w:szCs w:val="22"/>
          <w:lang w:eastAsia="en-US"/>
        </w:rPr>
        <w:t>Takeshita lab</w:t>
      </w:r>
      <w:r w:rsidR="008C071F">
        <w:rPr>
          <w:rFonts w:eastAsia="Times New Roman"/>
          <w:iCs/>
          <w:color w:val="000000"/>
          <w:sz w:val="22"/>
          <w:szCs w:val="22"/>
          <w:lang w:eastAsia="en-US"/>
        </w:rPr>
        <w:t>s</w:t>
      </w:r>
      <w:r w:rsidR="009648E5">
        <w:rPr>
          <w:rFonts w:eastAsia="Times New Roman"/>
          <w:iCs/>
          <w:color w:val="000000"/>
          <w:sz w:val="22"/>
          <w:szCs w:val="22"/>
          <w:lang w:eastAsia="en-US"/>
        </w:rPr>
        <w:t>.</w:t>
      </w:r>
      <w:r w:rsidR="005965B6">
        <w:rPr>
          <w:rFonts w:eastAsia="Times New Roman"/>
          <w:iCs/>
          <w:color w:val="000000"/>
          <w:sz w:val="22"/>
          <w:szCs w:val="22"/>
          <w:lang w:eastAsia="en-US"/>
        </w:rPr>
        <w:t xml:space="preserve">  </w:t>
      </w:r>
      <w:r w:rsidR="00FA149F" w:rsidRPr="00A3012E">
        <w:rPr>
          <w:rFonts w:eastAsia="Times New Roman"/>
          <w:iCs/>
          <w:color w:val="000000"/>
          <w:sz w:val="22"/>
          <w:szCs w:val="22"/>
          <w:lang w:eastAsia="en-US"/>
        </w:rPr>
        <w:t xml:space="preserve">In addition, a goal </w:t>
      </w:r>
      <w:r w:rsidR="00FA149F">
        <w:rPr>
          <w:rFonts w:eastAsia="Times New Roman"/>
          <w:iCs/>
          <w:color w:val="000000"/>
          <w:sz w:val="22"/>
          <w:szCs w:val="22"/>
          <w:lang w:eastAsia="en-US"/>
        </w:rPr>
        <w:t xml:space="preserve">for the last year of this project is to build the conversations we’ve had with potential collaborators into actual science missions they can propose as part of their on-going research projects. </w:t>
      </w:r>
    </w:p>
    <w:p w14:paraId="3E2F4527" w14:textId="77777777" w:rsidR="004F2729" w:rsidRDefault="004F2729" w:rsidP="00FA149F">
      <w:pPr>
        <w:shd w:val="clear" w:color="auto" w:fill="FFFFFF"/>
        <w:rPr>
          <w:rFonts w:eastAsia="Times New Roman"/>
          <w:iCs/>
          <w:color w:val="000000"/>
          <w:sz w:val="22"/>
          <w:szCs w:val="22"/>
          <w:lang w:eastAsia="en-US"/>
        </w:rPr>
      </w:pPr>
    </w:p>
    <w:p w14:paraId="32A17D6E" w14:textId="0CFFD569" w:rsidR="00FA149F" w:rsidRPr="00A3012E" w:rsidRDefault="004F2729" w:rsidP="00FA149F">
      <w:pPr>
        <w:shd w:val="clear" w:color="auto" w:fill="FFFFFF"/>
        <w:rPr>
          <w:rFonts w:eastAsia="Times New Roman"/>
          <w:iCs/>
          <w:color w:val="000000"/>
          <w:sz w:val="22"/>
          <w:szCs w:val="22"/>
          <w:lang w:eastAsia="en-US"/>
        </w:rPr>
      </w:pPr>
      <w:r>
        <w:rPr>
          <w:rFonts w:eastAsia="Times New Roman"/>
          <w:iCs/>
          <w:color w:val="000000"/>
          <w:sz w:val="22"/>
          <w:szCs w:val="22"/>
          <w:lang w:eastAsia="en-US"/>
        </w:rPr>
        <w:t xml:space="preserve">With respect to the new Strategic Roadmap currently being developed, the CPF fits in </w:t>
      </w:r>
      <w:r w:rsidRPr="004F2729">
        <w:rPr>
          <w:rFonts w:eastAsia="Times New Roman"/>
          <w:iCs/>
          <w:color w:val="000000"/>
          <w:sz w:val="22"/>
          <w:szCs w:val="22"/>
          <w:lang w:eastAsia="en-US"/>
        </w:rPr>
        <w:t xml:space="preserve">Challenge #1: </w:t>
      </w:r>
      <w:r>
        <w:rPr>
          <w:rFonts w:eastAsia="Times New Roman"/>
          <w:iCs/>
          <w:color w:val="000000"/>
          <w:sz w:val="22"/>
          <w:szCs w:val="22"/>
          <w:lang w:eastAsia="en-US"/>
        </w:rPr>
        <w:t>“</w:t>
      </w:r>
      <w:r w:rsidRPr="004F2729">
        <w:rPr>
          <w:rFonts w:eastAsia="Times New Roman"/>
          <w:iCs/>
          <w:color w:val="000000"/>
          <w:sz w:val="22"/>
          <w:szCs w:val="22"/>
          <w:lang w:eastAsia="en-US"/>
        </w:rPr>
        <w:t>Build technologies to assess, monitor, and predict ocean processes</w:t>
      </w:r>
      <w:r>
        <w:rPr>
          <w:rFonts w:eastAsia="Times New Roman"/>
          <w:iCs/>
          <w:color w:val="000000"/>
          <w:sz w:val="22"/>
          <w:szCs w:val="22"/>
          <w:lang w:eastAsia="en-US"/>
        </w:rPr>
        <w:t xml:space="preserve">”, </w:t>
      </w:r>
      <w:r w:rsidRPr="004F2729">
        <w:rPr>
          <w:rFonts w:eastAsia="Times New Roman"/>
          <w:iCs/>
          <w:color w:val="000000"/>
          <w:sz w:val="22"/>
          <w:szCs w:val="22"/>
          <w:lang w:eastAsia="en-US"/>
        </w:rPr>
        <w:t xml:space="preserve">Challenge #4: </w:t>
      </w:r>
      <w:r>
        <w:rPr>
          <w:rFonts w:eastAsia="Times New Roman"/>
          <w:iCs/>
          <w:color w:val="000000"/>
          <w:sz w:val="22"/>
          <w:szCs w:val="22"/>
          <w:lang w:eastAsia="en-US"/>
        </w:rPr>
        <w:t>“</w:t>
      </w:r>
      <w:r w:rsidRPr="004F2729">
        <w:rPr>
          <w:rFonts w:eastAsia="Times New Roman"/>
          <w:iCs/>
          <w:color w:val="000000"/>
          <w:sz w:val="22"/>
          <w:szCs w:val="22"/>
          <w:lang w:eastAsia="en-US"/>
        </w:rPr>
        <w:t>Explore and observe life in a dynamic ocean</w:t>
      </w:r>
      <w:r>
        <w:rPr>
          <w:rFonts w:eastAsia="Times New Roman"/>
          <w:iCs/>
          <w:color w:val="000000"/>
          <w:sz w:val="22"/>
          <w:szCs w:val="22"/>
          <w:lang w:eastAsia="en-US"/>
        </w:rPr>
        <w:t xml:space="preserve">” and </w:t>
      </w:r>
      <w:r w:rsidRPr="004F2729">
        <w:rPr>
          <w:rFonts w:eastAsia="Times New Roman"/>
          <w:iCs/>
          <w:color w:val="000000"/>
          <w:sz w:val="22"/>
          <w:szCs w:val="22"/>
          <w:lang w:eastAsia="en-US"/>
        </w:rPr>
        <w:t xml:space="preserve">Challenge #5: </w:t>
      </w:r>
      <w:r>
        <w:rPr>
          <w:rFonts w:eastAsia="Times New Roman"/>
          <w:iCs/>
          <w:color w:val="000000"/>
          <w:sz w:val="22"/>
          <w:szCs w:val="22"/>
          <w:lang w:eastAsia="en-US"/>
        </w:rPr>
        <w:t>“</w:t>
      </w:r>
      <w:r w:rsidRPr="004F2729">
        <w:rPr>
          <w:rFonts w:eastAsia="Times New Roman"/>
          <w:iCs/>
          <w:color w:val="000000"/>
          <w:sz w:val="22"/>
          <w:szCs w:val="22"/>
          <w:lang w:eastAsia="en-US"/>
        </w:rPr>
        <w:t>Study the impacts of climate change and other ocean threats</w:t>
      </w:r>
      <w:r>
        <w:rPr>
          <w:rFonts w:eastAsia="Times New Roman"/>
          <w:iCs/>
          <w:color w:val="000000"/>
          <w:sz w:val="22"/>
          <w:szCs w:val="22"/>
          <w:lang w:eastAsia="en-US"/>
        </w:rPr>
        <w:t xml:space="preserve">”. </w:t>
      </w:r>
      <w:r w:rsidR="00FA149F">
        <w:rPr>
          <w:rFonts w:eastAsia="Times New Roman"/>
          <w:iCs/>
          <w:color w:val="000000"/>
          <w:sz w:val="22"/>
          <w:szCs w:val="22"/>
          <w:lang w:eastAsia="en-US"/>
        </w:rPr>
        <w:t xml:space="preserve">We are particularly excited about </w:t>
      </w:r>
      <w:r>
        <w:rPr>
          <w:rFonts w:eastAsia="Times New Roman"/>
          <w:iCs/>
          <w:color w:val="000000"/>
          <w:sz w:val="22"/>
          <w:szCs w:val="22"/>
          <w:lang w:eastAsia="en-US"/>
        </w:rPr>
        <w:t xml:space="preserve">the possibility of moving the CPF technology into the hands of policy makers as described in </w:t>
      </w:r>
      <w:r w:rsidRPr="004F2729">
        <w:rPr>
          <w:rFonts w:eastAsia="Times New Roman"/>
          <w:iCs/>
          <w:color w:val="000000"/>
          <w:sz w:val="22"/>
          <w:szCs w:val="22"/>
          <w:lang w:eastAsia="en-US"/>
        </w:rPr>
        <w:t xml:space="preserve">Challenge #6: </w:t>
      </w:r>
      <w:r>
        <w:rPr>
          <w:rFonts w:eastAsia="Times New Roman"/>
          <w:iCs/>
          <w:color w:val="000000"/>
          <w:sz w:val="22"/>
          <w:szCs w:val="22"/>
          <w:lang w:eastAsia="en-US"/>
        </w:rPr>
        <w:t>“</w:t>
      </w:r>
      <w:r w:rsidRPr="004F2729">
        <w:rPr>
          <w:rFonts w:eastAsia="Times New Roman"/>
          <w:iCs/>
          <w:color w:val="000000"/>
          <w:sz w:val="22"/>
          <w:szCs w:val="22"/>
          <w:lang w:eastAsia="en-US"/>
        </w:rPr>
        <w:t>Share what we learn to inform and inspire ocean conservation</w:t>
      </w:r>
      <w:r>
        <w:rPr>
          <w:rFonts w:eastAsia="Times New Roman"/>
          <w:iCs/>
          <w:color w:val="000000"/>
          <w:sz w:val="22"/>
          <w:szCs w:val="22"/>
          <w:lang w:eastAsia="en-US"/>
        </w:rPr>
        <w:t>”</w:t>
      </w:r>
      <w:r w:rsidRPr="004F2729">
        <w:rPr>
          <w:rFonts w:eastAsia="Times New Roman"/>
          <w:iCs/>
          <w:color w:val="000000"/>
          <w:sz w:val="22"/>
          <w:szCs w:val="22"/>
          <w:lang w:eastAsia="en-US"/>
        </w:rPr>
        <w:t>.</w:t>
      </w:r>
    </w:p>
    <w:p w14:paraId="28DC9DE1" w14:textId="77777777" w:rsidR="00FA149F" w:rsidRDefault="00FA149F" w:rsidP="005965B6">
      <w:pPr>
        <w:shd w:val="clear" w:color="auto" w:fill="FFFFFF"/>
        <w:rPr>
          <w:rFonts w:eastAsia="Times New Roman"/>
          <w:iCs/>
          <w:color w:val="000000"/>
          <w:sz w:val="22"/>
          <w:szCs w:val="22"/>
          <w:lang w:eastAsia="en-US"/>
        </w:rPr>
      </w:pP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59162851" w14:textId="0BAD9215" w:rsidR="00404FDF" w:rsidRDefault="00404FDF" w:rsidP="00404FDF">
      <w:pPr>
        <w:rPr>
          <w:b/>
        </w:rPr>
      </w:pPr>
    </w:p>
    <w:p w14:paraId="03FE6133" w14:textId="1A1B2461" w:rsidR="00A102F5" w:rsidRDefault="00A102F5" w:rsidP="00A102F5">
      <w:pPr>
        <w:rPr>
          <w:b/>
        </w:rPr>
      </w:pPr>
      <w:r>
        <w:t>2023 is the third and last year of the current project.  We do not anticipate submitting a CPF specific proposal for 2024.  The nature of the work we’ve been doing for the last year and half and expect to be doing for the next year and a half can be described as 2 parallel efforts.  First, running pilot science missions in order to validate the CPF as an effective platform for science and refine the existing CPF functionality based on lessons learned from the pilot missions. At this point, we believe we’ve validated both the CPF functionality for science missions and the quality of the data acquired by the CPF. The second effort is finishing the last engineering work required to meet the requirements we set for the CPF</w:t>
      </w:r>
      <w:r w:rsidR="00D57C88">
        <w:t xml:space="preserve"> at the beginning of the project</w:t>
      </w:r>
      <w:r>
        <w:t xml:space="preserve">.  We hope to have </w:t>
      </w:r>
      <w:r w:rsidR="00D57C88">
        <w:t>all or nearly all</w:t>
      </w:r>
      <w:r>
        <w:t xml:space="preserve"> of this work done this year but will be requesting some engineering time next year </w:t>
      </w:r>
      <w:r w:rsidR="00D57C88">
        <w:t>for contingencies</w:t>
      </w:r>
      <w:r>
        <w:t xml:space="preserve"> as described in the rest of this proposal.</w:t>
      </w:r>
    </w:p>
    <w:p w14:paraId="421588F0" w14:textId="2756ACA4"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4BC17849" w14:textId="3313483A" w:rsidR="00F00B4C" w:rsidRDefault="00FA149F" w:rsidP="00F00B4C">
      <w:pPr>
        <w:ind w:left="360"/>
        <w:rPr>
          <w:b/>
        </w:rPr>
      </w:pPr>
      <w:r>
        <w:t>The science data processing for the CPF is done in the Chemical Sensor 901217 project.</w:t>
      </w:r>
    </w:p>
    <w:p w14:paraId="2B9D746F" w14:textId="77777777" w:rsidR="00F00B4C" w:rsidRDefault="00F00B4C" w:rsidP="00404FDF">
      <w:pPr>
        <w:rPr>
          <w:b/>
          <w:u w:val="single"/>
        </w:rPr>
      </w:pPr>
    </w:p>
    <w:p w14:paraId="5E0BAB2F" w14:textId="77777777" w:rsidR="00404FDF" w:rsidRDefault="00404FDF" w:rsidP="00404FDF">
      <w:pPr>
        <w:tabs>
          <w:tab w:val="left" w:pos="1935"/>
        </w:tabs>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0F2E5507" w14:textId="13B1EB12" w:rsidR="00404FDF" w:rsidRDefault="00032294" w:rsidP="00404FDF">
      <w:pPr>
        <w:rPr>
          <w:rStyle w:val="Hyperlink"/>
        </w:rPr>
      </w:pPr>
      <w:r>
        <w:t xml:space="preserve">Data from CPF deployments </w:t>
      </w:r>
      <w:r w:rsidR="00003D06">
        <w:t>are</w:t>
      </w:r>
      <w:r>
        <w:t xml:space="preserve"> </w:t>
      </w:r>
      <w:r w:rsidR="005908C0">
        <w:t xml:space="preserve">processed and </w:t>
      </w:r>
      <w:r w:rsidR="0099770D">
        <w:t>publicly</w:t>
      </w:r>
      <w:r>
        <w:t xml:space="preserve"> available on the </w:t>
      </w:r>
      <w:proofErr w:type="spellStart"/>
      <w:r>
        <w:t>CPFViz</w:t>
      </w:r>
      <w:proofErr w:type="spellEnd"/>
      <w:r>
        <w:t xml:space="preserve"> web page </w:t>
      </w:r>
      <w:hyperlink r:id="rId8" w:history="1">
        <w:r w:rsidR="00C73B82" w:rsidRPr="00DA4545">
          <w:rPr>
            <w:rStyle w:val="Hyperlink"/>
          </w:rPr>
          <w:t>https://www3.mbari.org/chemsensor/cpfviz.htm</w:t>
        </w:r>
      </w:hyperlink>
    </w:p>
    <w:p w14:paraId="0171B9C7" w14:textId="77777777" w:rsidR="005908C0" w:rsidRDefault="005908C0" w:rsidP="00404FDF">
      <w:pPr>
        <w:rPr>
          <w:rStyle w:val="Hyperlink"/>
        </w:rPr>
      </w:pPr>
    </w:p>
    <w:p w14:paraId="5EF1984E" w14:textId="23838B85" w:rsidR="008C071F" w:rsidRDefault="008C071F" w:rsidP="008C071F">
      <w:pPr>
        <w:keepNext/>
      </w:pPr>
    </w:p>
    <w:p w14:paraId="28A6778C" w14:textId="77777777" w:rsidR="006E4314" w:rsidRDefault="006E4314" w:rsidP="006E4314">
      <w:pPr>
        <w:keepNext/>
      </w:pPr>
      <w:r>
        <w:rPr>
          <w:rFonts w:ascii="Calibri" w:hAnsi="Calibri" w:cs="Calibri"/>
          <w:noProof/>
          <w:color w:val="1F497D"/>
          <w:sz w:val="22"/>
          <w:szCs w:val="22"/>
        </w:rPr>
        <w:drawing>
          <wp:inline distT="0" distB="0" distL="0" distR="0" wp14:anchorId="699C4D22" wp14:editId="62AA7FA2">
            <wp:extent cx="6400800" cy="4435385"/>
            <wp:effectExtent l="0" t="0" r="0" b="3810"/>
            <wp:docPr id="9" name="Picture 9" descr="cid:image001.png@01D895EC.BEED6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95EC.BEED68C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400800" cy="4435385"/>
                    </a:xfrm>
                    <a:prstGeom prst="rect">
                      <a:avLst/>
                    </a:prstGeom>
                    <a:noFill/>
                    <a:ln>
                      <a:noFill/>
                    </a:ln>
                  </pic:spPr>
                </pic:pic>
              </a:graphicData>
            </a:graphic>
          </wp:inline>
        </w:drawing>
      </w:r>
    </w:p>
    <w:p w14:paraId="088C21FF" w14:textId="7B10ED50" w:rsidR="006E4314" w:rsidRDefault="006E4314" w:rsidP="006E4314">
      <w:pPr>
        <w:pStyle w:val="Caption"/>
      </w:pPr>
      <w:r>
        <w:t xml:space="preserve">Figure </w:t>
      </w:r>
      <w:fldSimple w:instr=" SEQ Figure \* ARABIC ">
        <w:r>
          <w:rPr>
            <w:noProof/>
          </w:rPr>
          <w:t>1</w:t>
        </w:r>
      </w:fldSimple>
    </w:p>
    <w:p w14:paraId="3C32E39C" w14:textId="77777777" w:rsidR="00C73B82" w:rsidRDefault="00C73B82" w:rsidP="00404FDF">
      <w:pPr>
        <w:rPr>
          <w:b/>
        </w:rPr>
      </w:pPr>
    </w:p>
    <w:p w14:paraId="649E60C3" w14:textId="77777777" w:rsidR="008C071F" w:rsidRDefault="00C73B82" w:rsidP="008C071F">
      <w:pPr>
        <w:tabs>
          <w:tab w:val="left" w:pos="1935"/>
        </w:tabs>
      </w:pPr>
      <w:r>
        <w:t xml:space="preserve">Examples of data </w:t>
      </w:r>
      <w:r w:rsidR="008C071F">
        <w:t>products for profile data (Figure 2) and data gathered during anchoring mode (Figure 3) are shown below.</w:t>
      </w:r>
    </w:p>
    <w:p w14:paraId="7F80AB21" w14:textId="5DBE3259" w:rsidR="00404FDF" w:rsidRDefault="00404FDF" w:rsidP="00404FDF">
      <w:pPr>
        <w:tabs>
          <w:tab w:val="left" w:pos="1935"/>
        </w:tabs>
      </w:pPr>
    </w:p>
    <w:p w14:paraId="08D2D2E3" w14:textId="77777777" w:rsidR="00C73B82" w:rsidRDefault="00C73B82" w:rsidP="00404FDF">
      <w:pPr>
        <w:tabs>
          <w:tab w:val="left" w:pos="1935"/>
        </w:tabs>
      </w:pPr>
    </w:p>
    <w:p w14:paraId="78A6BD53" w14:textId="77777777" w:rsidR="00C73B82" w:rsidRDefault="00C73B82" w:rsidP="00404FDF">
      <w:pPr>
        <w:tabs>
          <w:tab w:val="left" w:pos="1935"/>
        </w:tabs>
      </w:pPr>
    </w:p>
    <w:p w14:paraId="63C8006E" w14:textId="77777777" w:rsidR="00C73B82" w:rsidRDefault="00C73B82" w:rsidP="00C73B82">
      <w:pPr>
        <w:keepNext/>
        <w:tabs>
          <w:tab w:val="left" w:pos="1935"/>
        </w:tabs>
        <w:jc w:val="center"/>
      </w:pPr>
      <w:r>
        <w:rPr>
          <w:noProof/>
          <w:lang w:eastAsia="en-US"/>
        </w:rPr>
        <w:drawing>
          <wp:inline distT="0" distB="0" distL="0" distR="0" wp14:anchorId="430CC68F" wp14:editId="3E63B43E">
            <wp:extent cx="4346575" cy="2426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6575" cy="2426335"/>
                    </a:xfrm>
                    <a:prstGeom prst="rect">
                      <a:avLst/>
                    </a:prstGeom>
                    <a:noFill/>
                  </pic:spPr>
                </pic:pic>
              </a:graphicData>
            </a:graphic>
          </wp:inline>
        </w:drawing>
      </w:r>
    </w:p>
    <w:p w14:paraId="2D84EDF6" w14:textId="5DCFA2C8" w:rsidR="00C73B82" w:rsidRDefault="00C73B82" w:rsidP="00C73B82">
      <w:pPr>
        <w:pStyle w:val="Caption"/>
      </w:pPr>
      <w:r>
        <w:t xml:space="preserve">Figure </w:t>
      </w:r>
      <w:fldSimple w:instr=" SEQ Figure \* ARABIC ">
        <w:r w:rsidR="006E4314">
          <w:rPr>
            <w:noProof/>
          </w:rPr>
          <w:t>2</w:t>
        </w:r>
      </w:fldSimple>
      <w:r>
        <w:t xml:space="preserve"> Temperature, nitrate and chlorophyll concentrations in the upper 10 m on each of the multiple profiles in 9 separate d</w:t>
      </w:r>
      <w:r w:rsidR="00DD0640">
        <w:t>eployments of the CPF in 2021/22</w:t>
      </w:r>
      <w:r>
        <w:t>. The scatter in the deployments reflects the large variability that characterizes Monterey Bay on a scale of a few hours.</w:t>
      </w:r>
    </w:p>
    <w:p w14:paraId="7407B14F" w14:textId="77777777" w:rsidR="008C071F" w:rsidRDefault="005908C0" w:rsidP="008C071F">
      <w:pPr>
        <w:keepNext/>
        <w:tabs>
          <w:tab w:val="left" w:pos="1935"/>
        </w:tabs>
      </w:pPr>
      <w:r>
        <w:rPr>
          <w:rFonts w:ascii="Arial" w:eastAsia="Times New Roman" w:hAnsi="Arial" w:cs="Arial"/>
          <w:noProof/>
          <w:color w:val="000000"/>
          <w:lang w:eastAsia="en-US"/>
        </w:rPr>
        <w:drawing>
          <wp:inline distT="0" distB="0" distL="0" distR="0" wp14:anchorId="4793895B" wp14:editId="723AE852">
            <wp:extent cx="6400800" cy="3653872"/>
            <wp:effectExtent l="0" t="0" r="0" b="3810"/>
            <wp:docPr id="5" name="Picture 5" descr="cid:faadd3f38985bc393c11558c35f094cbe8ea3e8b@zim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faadd3f38985bc393c11558c35f094cbe8ea3e8b@zimbra"/>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6400800" cy="3653872"/>
                    </a:xfrm>
                    <a:prstGeom prst="rect">
                      <a:avLst/>
                    </a:prstGeom>
                    <a:noFill/>
                    <a:ln>
                      <a:noFill/>
                    </a:ln>
                  </pic:spPr>
                </pic:pic>
              </a:graphicData>
            </a:graphic>
          </wp:inline>
        </w:drawing>
      </w:r>
    </w:p>
    <w:p w14:paraId="0EFD7E99" w14:textId="6247B862" w:rsidR="00C73B82" w:rsidRDefault="008C071F" w:rsidP="008C071F">
      <w:pPr>
        <w:pStyle w:val="Caption"/>
      </w:pPr>
      <w:r>
        <w:t xml:space="preserve">Figure </w:t>
      </w:r>
      <w:fldSimple w:instr=" SEQ Figure \* ARABIC ">
        <w:r w:rsidR="006E4314">
          <w:rPr>
            <w:noProof/>
          </w:rPr>
          <w:t>3</w:t>
        </w:r>
      </w:fldSimple>
      <w:r w:rsidR="00436B80">
        <w:t xml:space="preserve"> </w:t>
      </w:r>
      <w:r w:rsidRPr="00023605">
        <w:t xml:space="preserve">Example plots of profile data collected during a ~20-h CPF mission profiling every hour, for temperature, salinity, oxygen, pH and </w:t>
      </w:r>
      <w:proofErr w:type="spellStart"/>
      <w:r w:rsidRPr="00023605">
        <w:t>Chl</w:t>
      </w:r>
      <w:proofErr w:type="spellEnd"/>
      <w:r w:rsidRPr="00023605">
        <w:t xml:space="preserve">-a fluorescence, accessible from </w:t>
      </w:r>
      <w:proofErr w:type="spellStart"/>
      <w:r w:rsidRPr="00023605">
        <w:t>CPFViz</w:t>
      </w:r>
      <w:proofErr w:type="spellEnd"/>
      <w:r w:rsidRPr="00023605">
        <w:t>.</w:t>
      </w:r>
    </w:p>
    <w:p w14:paraId="33220CAB" w14:textId="3C4CD044" w:rsidR="009B59C6" w:rsidRDefault="009B59C6" w:rsidP="009B59C6"/>
    <w:p w14:paraId="69DE99DE" w14:textId="58C46F26" w:rsidR="009B59C6" w:rsidRPr="009B59C6" w:rsidRDefault="008E514B" w:rsidP="009B59C6">
      <w:r>
        <w:rPr>
          <w:noProof/>
        </w:rPr>
        <w:lastRenderedPageBreak/>
        <mc:AlternateContent>
          <mc:Choice Requires="wps">
            <w:drawing>
              <wp:anchor distT="0" distB="0" distL="114300" distR="114300" simplePos="0" relativeHeight="251660288" behindDoc="0" locked="0" layoutInCell="1" allowOverlap="1" wp14:anchorId="13B9CB63" wp14:editId="301A1107">
                <wp:simplePos x="0" y="0"/>
                <wp:positionH relativeFrom="margin">
                  <wp:posOffset>3224530</wp:posOffset>
                </wp:positionH>
                <wp:positionV relativeFrom="paragraph">
                  <wp:posOffset>1842135</wp:posOffset>
                </wp:positionV>
                <wp:extent cx="3248025" cy="188595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3248025" cy="1885950"/>
                        </a:xfrm>
                        <a:prstGeom prst="rect">
                          <a:avLst/>
                        </a:prstGeom>
                        <a:solidFill>
                          <a:prstClr val="white"/>
                        </a:solidFill>
                        <a:ln>
                          <a:noFill/>
                        </a:ln>
                      </wps:spPr>
                      <wps:txbx>
                        <w:txbxContent>
                          <w:p w14:paraId="2F24370D" w14:textId="23BD4383" w:rsidR="008E514B" w:rsidRDefault="008E514B" w:rsidP="008E514B">
                            <w:pPr>
                              <w:pStyle w:val="Caption"/>
                            </w:pPr>
                            <w:r>
                              <w:t xml:space="preserve">Figure </w:t>
                            </w:r>
                            <w:fldSimple w:instr=" SEQ Figure \* ARABIC ">
                              <w:r w:rsidR="006E4314">
                                <w:rPr>
                                  <w:noProof/>
                                </w:rPr>
                                <w:t>4</w:t>
                              </w:r>
                            </w:fldSimple>
                            <w:r>
                              <w:t xml:space="preserve"> </w:t>
                            </w:r>
                            <w:r w:rsidRPr="0013364B">
                              <w:t xml:space="preserve">Left panel: </w:t>
                            </w:r>
                            <w:r w:rsidRPr="008E514B">
                              <w:t>Example plots of (top) temperature and nitrate, (middle) oxygen and pH and (bottom) Chl-a fluorescence and optical backscattering, parked on the seafloor at ~33m depth</w:t>
                            </w:r>
                            <w:r w:rsidRPr="008E514B">
                              <w:rPr>
                                <w:iCs w:val="0"/>
                              </w:rPr>
                              <w:t>. All sensor data sampling at high frequency (every 2 minutes</w:t>
                            </w:r>
                            <w:r>
                              <w:rPr>
                                <w:iCs w:val="0"/>
                              </w:rPr>
                              <w:t>)</w:t>
                            </w:r>
                            <w:r w:rsidRPr="008E514B">
                              <w:rPr>
                                <w:iCs w:val="0"/>
                              </w:rPr>
                              <w:t xml:space="preserve"> March 29th 2022.</w:t>
                            </w:r>
                            <w:r w:rsidRPr="008E514B">
                              <w:t xml:space="preserve"> </w:t>
                            </w:r>
                          </w:p>
                          <w:p w14:paraId="5699384A" w14:textId="47D0C50C" w:rsidR="008E514B" w:rsidRPr="008E514B" w:rsidRDefault="008E514B" w:rsidP="008E514B">
                            <w:pPr>
                              <w:pStyle w:val="Caption"/>
                              <w:rPr>
                                <w:noProof/>
                                <w:sz w:val="24"/>
                                <w:szCs w:val="24"/>
                              </w:rPr>
                            </w:pPr>
                            <w:r w:rsidRPr="008E514B">
                              <w:t xml:space="preserve">Right panel: </w:t>
                            </w:r>
                            <w:r w:rsidRPr="008E514B">
                              <w:rPr>
                                <w:iCs w:val="0"/>
                              </w:rPr>
                              <w:t xml:space="preserve">Autocorrelation functions for temperature data from deployment in Figure 1. Note decorrelation timescales can vary from ~12-30 minutes (zero-crossings for colored lines) to ~3.8 h (zero-crossing for black line). Autocorrelations for subsets of 6h data are plotted in color for different segments of data (detrended to remove low-frequency signals), and for the </w:t>
                            </w:r>
                            <w:r w:rsidRPr="008E514B">
                              <w:t>~</w:t>
                            </w:r>
                            <w:r w:rsidRPr="008E514B">
                              <w:rPr>
                                <w:iCs w:val="0"/>
                              </w:rPr>
                              <w:t xml:space="preserve"> 24-h period in black.</w:t>
                            </w:r>
                            <w:r w:rsidRPr="008E514B">
                              <w:t xml:space="preserve"> These data can inform optimal sampling frequencies to capture high-frequency dynamics characteristic of the Bay.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9CB63" id="_x0000_t202" coordsize="21600,21600" o:spt="202" path="m,l,21600r21600,l21600,xe">
                <v:stroke joinstyle="miter"/>
                <v:path gradientshapeok="t" o:connecttype="rect"/>
              </v:shapetype>
              <v:shape id="Text Box 8" o:spid="_x0000_s1026" type="#_x0000_t202" style="position:absolute;margin-left:253.9pt;margin-top:145.05pt;width:255.75pt;height:14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" stroked="f">
                <v:textbox inset="0,0,0,0">
                  <w:txbxContent>
                    <w:p w14:paraId="2F24370D" w14:textId="23BD4383" w:rsidR="008E514B" w:rsidRDefault="008E514B" w:rsidP="008E514B">
                      <w:pPr>
                        <w:pStyle w:val="Caption"/>
                      </w:pPr>
                      <w:r>
                        <w:t xml:space="preserve">Figure </w:t>
                      </w:r>
                      <w:r w:rsidR="00207D10">
                        <w:fldChar w:fldCharType="begin"/>
                      </w:r>
                      <w:r w:rsidR="00207D10">
                        <w:instrText xml:space="preserve"> SEQ Figure \* ARABIC </w:instrText>
                      </w:r>
                      <w:r w:rsidR="00207D10">
                        <w:fldChar w:fldCharType="separate"/>
                      </w:r>
                      <w:r w:rsidR="006E4314">
                        <w:rPr>
                          <w:noProof/>
                        </w:rPr>
                        <w:t>4</w:t>
                      </w:r>
                      <w:r w:rsidR="00207D10">
                        <w:rPr>
                          <w:noProof/>
                        </w:rPr>
                        <w:fldChar w:fldCharType="end"/>
                      </w:r>
                      <w:r>
                        <w:t xml:space="preserve"> </w:t>
                      </w:r>
                      <w:r w:rsidRPr="0013364B">
                        <w:t xml:space="preserve">Left panel: </w:t>
                      </w:r>
                      <w:r w:rsidRPr="008E514B">
                        <w:t>Example plots of (top) temperature and nitrate, (middle) oxygen and pH and (bottom) Chl-a fluorescence and optical backscattering, parked on the seafloor at ~33m depth</w:t>
                      </w:r>
                      <w:r w:rsidRPr="008E514B">
                        <w:rPr>
                          <w:iCs w:val="0"/>
                        </w:rPr>
                        <w:t>. All sensor data sampling at high frequency (every 2 minutes</w:t>
                      </w:r>
                      <w:r>
                        <w:rPr>
                          <w:iCs w:val="0"/>
                        </w:rPr>
                        <w:t>)</w:t>
                      </w:r>
                      <w:r w:rsidRPr="008E514B">
                        <w:rPr>
                          <w:iCs w:val="0"/>
                        </w:rPr>
                        <w:t xml:space="preserve"> March 29th 2022.</w:t>
                      </w:r>
                      <w:r w:rsidRPr="008E514B">
                        <w:t xml:space="preserve"> </w:t>
                      </w:r>
                    </w:p>
                    <w:p w14:paraId="5699384A" w14:textId="47D0C50C" w:rsidR="008E514B" w:rsidRPr="008E514B" w:rsidRDefault="008E514B" w:rsidP="008E514B">
                      <w:pPr>
                        <w:pStyle w:val="Caption"/>
                        <w:rPr>
                          <w:noProof/>
                          <w:sz w:val="24"/>
                          <w:szCs w:val="24"/>
                        </w:rPr>
                      </w:pPr>
                      <w:r w:rsidRPr="008E514B">
                        <w:t xml:space="preserve">Right panel: </w:t>
                      </w:r>
                      <w:r w:rsidRPr="008E514B">
                        <w:rPr>
                          <w:iCs w:val="0"/>
                        </w:rPr>
                        <w:t xml:space="preserve">Autocorrelation functions for temperature data from deployment in Figure 1. Note decorrelation timescales can vary from ~12-30 minutes (zero-crossings for colored lines) to ~3.8 h (zero-crossing for black line). Autocorrelations for subsets of 6h data are plotted in color for different segments of data (detrended to remove low-frequency signals), and for the </w:t>
                      </w:r>
                      <w:r w:rsidRPr="008E514B">
                        <w:t>~</w:t>
                      </w:r>
                      <w:r w:rsidRPr="008E514B">
                        <w:rPr>
                          <w:iCs w:val="0"/>
                        </w:rPr>
                        <w:t xml:space="preserve"> 24-h period in black.</w:t>
                      </w:r>
                      <w:r w:rsidRPr="008E514B">
                        <w:t xml:space="preserve"> These data can inform optimal sampling frequencies to capture high-frequency dynamics characteristic of the Bay.</w:t>
                      </w:r>
                    </w:p>
                  </w:txbxContent>
                </v:textbox>
                <w10:wrap anchorx="margin"/>
              </v:shape>
            </w:pict>
          </mc:Fallback>
        </mc:AlternateContent>
      </w:r>
      <w:r>
        <w:rPr>
          <w:noProof/>
        </w:rPr>
        <w:drawing>
          <wp:anchor distT="0" distB="0" distL="114300" distR="114300" simplePos="0" relativeHeight="251658240" behindDoc="0" locked="0" layoutInCell="1" allowOverlap="1" wp14:anchorId="48F84758" wp14:editId="4FC284BF">
            <wp:simplePos x="0" y="0"/>
            <wp:positionH relativeFrom="column">
              <wp:posOffset>3267075</wp:posOffset>
            </wp:positionH>
            <wp:positionV relativeFrom="paragraph">
              <wp:posOffset>60960</wp:posOffset>
            </wp:positionV>
            <wp:extent cx="3118104" cy="1746504"/>
            <wp:effectExtent l="0" t="0" r="635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8104" cy="1746504"/>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58627AA" wp14:editId="1B381A49">
            <wp:extent cx="3225165" cy="35420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25165" cy="3542030"/>
                    </a:xfrm>
                    <a:prstGeom prst="rect">
                      <a:avLst/>
                    </a:prstGeom>
                    <a:noFill/>
                  </pic:spPr>
                </pic:pic>
              </a:graphicData>
            </a:graphic>
          </wp:inline>
        </w:drawing>
      </w:r>
    </w:p>
    <w:p w14:paraId="328559B8" w14:textId="77777777" w:rsidR="00C73B82" w:rsidRDefault="00C73B82"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1E7E5E06" w:rsidR="00404FDF" w:rsidRDefault="00687083" w:rsidP="00404FDF">
      <w:r>
        <w:t xml:space="preserve">Current users of the CPF and the data it generates include MBARI’s Chemical Sensor Program, </w:t>
      </w:r>
      <w:r w:rsidRPr="00687083">
        <w:t>Coastal Biogeochemical Sensing Program</w:t>
      </w:r>
      <w:r>
        <w:t xml:space="preserve"> and the Biological Oceanography Group.  </w:t>
      </w:r>
      <w:r w:rsidR="0099770D">
        <w:t xml:space="preserve">The BOG deploys the CPFs we built with them monthly as part of their Monterey Bay Time Series and during their CANON experiments.  </w:t>
      </w:r>
      <w:r>
        <w:t>Colleen Durkin has already submitted an OTIC proposal that will use the CPF</w:t>
      </w:r>
      <w:r w:rsidR="0099770D">
        <w:t xml:space="preserve"> as the platform for an advanced imaging system.  We will</w:t>
      </w:r>
      <w:r>
        <w:t xml:space="preserve"> continue working with Colleen to support her research. We believe the CPF has the potential to create tangible connections with a variety of external organizations. </w:t>
      </w:r>
      <w:r w:rsidR="00E47D16">
        <w:t xml:space="preserve">There is strong interest among the Ocean Mixing community in the CPF, as the Turbulence Experiment demonstrated it is an </w:t>
      </w:r>
      <w:r w:rsidR="00436B80">
        <w:t>exceptionally</w:t>
      </w:r>
      <w:r w:rsidR="00E47D16">
        <w:t xml:space="preserve"> quiet platform for turbulence measurements. </w:t>
      </w:r>
      <w:r>
        <w:t>As mentioned earlier in this proposal, we are particularly interested in moving the CPF technology into the hands of policy making agencies as mentioned in Challenge 6 of the new strategic roadmap.</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20983202" w:rsidR="00404FDF" w:rsidRDefault="00687083" w:rsidP="00404FDF">
      <w:pPr>
        <w:rPr>
          <w:b/>
        </w:rPr>
      </w:pPr>
      <w:r>
        <w:t>We don’t see a need for ITD resources at this time.  However, the CPF might be a compelling story and we’d be happy to work with ITD as appropriate to make this story known.</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62351A74" w14:textId="77777777" w:rsidR="00CB3064" w:rsidRDefault="00CB3064" w:rsidP="009863F0">
      <w:r>
        <w:t xml:space="preserve">The milestones from last year’s proposal were </w:t>
      </w:r>
    </w:p>
    <w:p w14:paraId="28BEFD41" w14:textId="250C92DB" w:rsidR="00CB3064" w:rsidRDefault="00CB3064" w:rsidP="009863F0">
      <w:r>
        <w:t xml:space="preserve">1. </w:t>
      </w:r>
      <w:r w:rsidRPr="00CB3064">
        <w:t>Upwelling experiment #1</w:t>
      </w:r>
      <w:r>
        <w:t xml:space="preserve"> </w:t>
      </w:r>
    </w:p>
    <w:p w14:paraId="09C36A22" w14:textId="08FB3E13" w:rsidR="00CB3064" w:rsidRDefault="00CB3064" w:rsidP="009863F0">
      <w:r>
        <w:t xml:space="preserve">2. </w:t>
      </w:r>
      <w:r w:rsidRPr="00CB3064">
        <w:t>Upwelling experiment #2</w:t>
      </w:r>
      <w:r>
        <w:t xml:space="preserve"> </w:t>
      </w:r>
    </w:p>
    <w:p w14:paraId="1B10C8B5" w14:textId="0B229E73" w:rsidR="00CB3064" w:rsidRDefault="00CB3064" w:rsidP="009863F0">
      <w:r>
        <w:t xml:space="preserve">3. </w:t>
      </w:r>
      <w:r w:rsidRPr="00CB3064">
        <w:t>Turbulence Experiment</w:t>
      </w:r>
      <w:r>
        <w:t xml:space="preserve"> </w:t>
      </w:r>
    </w:p>
    <w:p w14:paraId="35885B02" w14:textId="131109A3" w:rsidR="00701300" w:rsidRDefault="00CB3064" w:rsidP="009863F0">
      <w:r>
        <w:t xml:space="preserve">4. </w:t>
      </w:r>
      <w:r w:rsidRPr="00CB3064">
        <w:t>Test tank prototype with HDBP and new controller</w:t>
      </w:r>
      <w:r>
        <w:t>.</w:t>
      </w:r>
    </w:p>
    <w:p w14:paraId="579F725F" w14:textId="0AC94BC9" w:rsidR="00CB3064" w:rsidRDefault="00CB3064" w:rsidP="009863F0"/>
    <w:p w14:paraId="58E0B62E" w14:textId="739C4D04" w:rsidR="00CB3064" w:rsidRDefault="00CB3064" w:rsidP="009863F0">
      <w:r>
        <w:t>We have completed</w:t>
      </w:r>
      <w:r w:rsidR="00DD0640">
        <w:t xml:space="preserve"> 5</w:t>
      </w:r>
      <w:r>
        <w:t xml:space="preserve"> pilot upwelling experiments (milestones 1. and 2.) with the important qualifier that these were done with only 1 CPF.  We focused our efforts in the first half of 2022 on science deployments and our resources on addressing the lessons learned from these deployments. We </w:t>
      </w:r>
      <w:r w:rsidR="000B6BE7">
        <w:t>expect</w:t>
      </w:r>
      <w:r>
        <w:t xml:space="preserve"> to have the remaining 2 CPFs finished </w:t>
      </w:r>
      <w:r w:rsidR="00653094">
        <w:t xml:space="preserve">this year </w:t>
      </w:r>
      <w:r>
        <w:t xml:space="preserve">and </w:t>
      </w:r>
      <w:r w:rsidR="00653094">
        <w:t xml:space="preserve">be </w:t>
      </w:r>
      <w:r>
        <w:t>running upwelling experiments with our full fleet of 3 CPFs in the first half of 2023.</w:t>
      </w:r>
    </w:p>
    <w:p w14:paraId="59C76DF4" w14:textId="77777777" w:rsidR="00CB3064" w:rsidRDefault="00CB3064" w:rsidP="009863F0"/>
    <w:p w14:paraId="5BB4446E" w14:textId="0C2AAF35" w:rsidR="002E06C4" w:rsidRDefault="00CB3064" w:rsidP="009863F0">
      <w:r>
        <w:t xml:space="preserve">Milestones 3 is complete. </w:t>
      </w:r>
      <w:r w:rsidR="00E47D16" w:rsidRPr="00E47D16">
        <w:t>A total of 10 CPF-</w:t>
      </w:r>
      <w:proofErr w:type="spellStart"/>
      <w:r w:rsidR="00E47D16" w:rsidRPr="00E47D16">
        <w:t>MicroRider</w:t>
      </w:r>
      <w:proofErr w:type="spellEnd"/>
      <w:r w:rsidR="00E47D16" w:rsidRPr="00E47D16">
        <w:t xml:space="preserve"> deployments were conducted in the fall of 2021, gathering 40 profiles of concomitant observations of biogeochemistry and turbulence including overnight missions profiling every hour (as part of the Turbulence Scoping Project 902108). This experiment required software modifications to profile in “glide mode” (i.e. turning the buoyancy engine off in the ascent) and at a higher profiling speed, resulting in unprecedented high-quality turbulence measurements. According to the staff at Rockland Scientific, the developer of the </w:t>
      </w:r>
      <w:proofErr w:type="spellStart"/>
      <w:r w:rsidR="00E47D16" w:rsidRPr="00E47D16">
        <w:t>MicroRider</w:t>
      </w:r>
      <w:proofErr w:type="spellEnd"/>
      <w:r w:rsidR="00E47D16" w:rsidRPr="00E47D16">
        <w:t xml:space="preserve"> turbulence probe we used for this experiment, the CPF proved to be an exceptionally quiet platform for these highly sensitive turbulence measurements.  Dr. Rolf Lueck, a co-founder of Rockland Scientific, went so far as to send us an e-mail with this quote “I think that I am not going out on a limb when I say that the data looks amazing”. The t</w:t>
      </w:r>
      <w:r w:rsidR="00E47D16">
        <w:t>u</w:t>
      </w:r>
      <w:r w:rsidR="00E47D16" w:rsidRPr="00E47D16">
        <w:t xml:space="preserve">rbulence data gather from these experiments will be used as a benchmark dataset by the SCOR working group that aims to establish best practices for the processing of shear-probe data (https://scor-int.org/group/analysing-ocean-turbulence-observations-to-quantify-mixing-atomix/). One slide from Magdalena’s recent talk at the Ocean Mixing Gordon Research Seminar that illustrates the quality of turbulence data is provided herein Figure </w:t>
      </w:r>
      <w:r w:rsidR="00E47D16">
        <w:t>5</w:t>
      </w:r>
      <w:r w:rsidR="00E47D16" w:rsidRPr="00E47D16">
        <w:t>.</w:t>
      </w:r>
    </w:p>
    <w:p w14:paraId="6D3370BD" w14:textId="77777777" w:rsidR="00E47D16" w:rsidRDefault="002E06C4" w:rsidP="00E47D16">
      <w:pPr>
        <w:keepNext/>
      </w:pPr>
      <w:r w:rsidRPr="002E06C4">
        <w:rPr>
          <w:noProof/>
          <w:lang w:eastAsia="en-US"/>
        </w:rPr>
        <w:lastRenderedPageBreak/>
        <w:drawing>
          <wp:inline distT="0" distB="0" distL="0" distR="0" wp14:anchorId="3678FCA7" wp14:editId="48B01369">
            <wp:extent cx="6400800" cy="3437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00800" cy="3437255"/>
                    </a:xfrm>
                    <a:prstGeom prst="rect">
                      <a:avLst/>
                    </a:prstGeom>
                  </pic:spPr>
                </pic:pic>
              </a:graphicData>
            </a:graphic>
          </wp:inline>
        </w:drawing>
      </w:r>
    </w:p>
    <w:p w14:paraId="79FABCC3" w14:textId="6CCCEA7E" w:rsidR="00BC3AC9" w:rsidRDefault="00E47D16" w:rsidP="00E47D16">
      <w:pPr>
        <w:pStyle w:val="Caption"/>
      </w:pPr>
      <w:r>
        <w:t xml:space="preserve">Figure </w:t>
      </w:r>
      <w:fldSimple w:instr=" SEQ Figure \* ARABIC ">
        <w:r w:rsidR="006E4314">
          <w:rPr>
            <w:noProof/>
          </w:rPr>
          <w:t>5</w:t>
        </w:r>
      </w:fldSimple>
      <w:r w:rsidRPr="00E47D16">
        <w:t xml:space="preserve"> </w:t>
      </w:r>
      <w:r>
        <w:t>Example of microscale shear spectra (left and center plots) collected during a CPF-</w:t>
      </w:r>
      <w:proofErr w:type="spellStart"/>
      <w:r>
        <w:t>MicroRider</w:t>
      </w:r>
      <w:proofErr w:type="spellEnd"/>
      <w:r>
        <w:t xml:space="preserve"> deployment in the fall of 2021 in the south Monterey Bay shelf region, from which dissipation rates of turbulent kinetic energy are derived (blue profile, right plot). The agreement between the blue line (from a shear probe) and the theoretical </w:t>
      </w:r>
      <w:proofErr w:type="spellStart"/>
      <w:r>
        <w:t>Nasmyth</w:t>
      </w:r>
      <w:proofErr w:type="spellEnd"/>
      <w:r>
        <w:t xml:space="preserve"> shear spectra (black line) up to the triangle (in blue) is indicative of the quality of turbulence data (center plot). Note that deviations beyond the triangle at higher frequencies do not contaminate the dissipation rate estimates.</w:t>
      </w:r>
    </w:p>
    <w:p w14:paraId="676D0B59" w14:textId="3E57C9D0" w:rsidR="00CB3064" w:rsidRDefault="00CB3064" w:rsidP="009863F0">
      <w:r>
        <w:t>Milestone 4 is in progress and we expect to have it complete by the end of 2022.</w:t>
      </w:r>
    </w:p>
    <w:p w14:paraId="48E5FC51" w14:textId="3A0D7B67" w:rsidR="00C13FBA" w:rsidRDefault="00C13FBA" w:rsidP="009863F0"/>
    <w:p w14:paraId="3243FF4D" w14:textId="4C6E5DD3" w:rsidR="00C13FBA" w:rsidRDefault="00C13FBA" w:rsidP="009863F0">
      <w:r>
        <w:t>A major focus of the engineering work this year has been decreasing the CPF energy consumption in order to increase mission duration. The turbulence experiment needed high frequency samples and we defined those missions to maximize sample rate at the expense of mission duration.  The upwelling experiment prioritizes mission duration over sample rate.  We’ve made significant progress in improving mission duration and our current energy model suggest we can get roughly 50X 100 meter profiles out of our current temporary battery pack.  That number should increase to roughly 200X profiles when we’ve integrated the new Lithium primary battery pack.  Mission duration is defined by how much</w:t>
      </w:r>
      <w:r w:rsidR="002C3EBF">
        <w:t xml:space="preserve"> energy </w:t>
      </w:r>
      <w:r w:rsidR="00BC6423">
        <w:t>each</w:t>
      </w:r>
      <w:r w:rsidR="002C3EBF">
        <w:t xml:space="preserve"> profile burns and how much</w:t>
      </w:r>
      <w:r>
        <w:t xml:space="preserve"> energy we consume between profiles. </w:t>
      </w:r>
      <w:r w:rsidR="002C3EBF">
        <w:t xml:space="preserve">We’ve made significant improvements in the profile energy and expect to make modest improvements in the future. </w:t>
      </w:r>
      <w:r>
        <w:t xml:space="preserve"> The sleep </w:t>
      </w:r>
      <w:r w:rsidR="00D15F7E">
        <w:t xml:space="preserve">mode </w:t>
      </w:r>
      <w:r>
        <w:t>functionality already built into the CPF electronics is intended to reduce the energy consumption</w:t>
      </w:r>
      <w:r w:rsidR="005D3DC5">
        <w:t xml:space="preserve"> between profiles to </w:t>
      </w:r>
      <w:r w:rsidR="00BC6423">
        <w:t>a small</w:t>
      </w:r>
      <w:r w:rsidR="00D15F7E">
        <w:t xml:space="preserve"> fraction of the </w:t>
      </w:r>
      <w:r w:rsidR="00BC6423">
        <w:t xml:space="preserve">total </w:t>
      </w:r>
      <w:r w:rsidR="00D15F7E">
        <w:t>energy consumption</w:t>
      </w:r>
      <w:r w:rsidR="005D3DC5">
        <w:t xml:space="preserve">.  So, the overall mission duration is a function of duty cycle, i.e. how much of a mission is spent in sleep mode and how much is spent actively </w:t>
      </w:r>
      <w:r w:rsidR="00790D99">
        <w:t>running profiles</w:t>
      </w:r>
      <w:r w:rsidR="005D3DC5">
        <w:t>.</w:t>
      </w:r>
      <w:r w:rsidR="00DC2DCE">
        <w:t xml:space="preserve"> With our current energy consumption numbers</w:t>
      </w:r>
      <w:r w:rsidR="00790D99">
        <w:t>, sleep mode operational</w:t>
      </w:r>
      <w:r w:rsidR="00DC2DCE">
        <w:t xml:space="preserve"> and </w:t>
      </w:r>
      <w:r w:rsidR="00790D99">
        <w:t xml:space="preserve">the new Lithium primary pack, we estimate </w:t>
      </w:r>
      <w:r w:rsidR="00515B69">
        <w:t>with a profile rate of</w:t>
      </w:r>
      <w:r w:rsidR="00790D99">
        <w:t xml:space="preserve"> 1 profile per day spread </w:t>
      </w:r>
      <w:r w:rsidR="00515B69">
        <w:t xml:space="preserve">the mission duration will be </w:t>
      </w:r>
      <w:r w:rsidR="00790D99">
        <w:t>250 days</w:t>
      </w:r>
      <w:r w:rsidR="00BC6423">
        <w:t>.</w:t>
      </w:r>
      <w:r w:rsidR="00515B69">
        <w:t xml:space="preserve">  The mission duration scales almost linearly with profile rate e.g. a profile rate of 1 profile per 2 days gives an estimated mission duration of 490 days.  It should be noted that these estimates are based on several assumption about how the sleep mode will operate that we won’t be able to verify until we have sleep mode operational.</w:t>
      </w:r>
    </w:p>
    <w:p w14:paraId="29862414" w14:textId="77777777" w:rsidR="00215D7E" w:rsidRDefault="00215D7E" w:rsidP="009863F0"/>
    <w:p w14:paraId="1A22E7A3" w14:textId="6EA120D9" w:rsidR="00215D7E" w:rsidRDefault="00215D7E" w:rsidP="009863F0">
      <w:r>
        <w:lastRenderedPageBreak/>
        <w:t xml:space="preserve">Another significant result is the routine processing of CPF data with the results </w:t>
      </w:r>
      <w:r w:rsidR="0099770D">
        <w:t>publicly</w:t>
      </w:r>
      <w:r>
        <w:t xml:space="preserve"> available on the </w:t>
      </w:r>
      <w:proofErr w:type="spellStart"/>
      <w:r>
        <w:t>CPFViz</w:t>
      </w:r>
      <w:proofErr w:type="spellEnd"/>
      <w:r>
        <w:t xml:space="preserve"> website as described the Data section above.</w:t>
      </w:r>
    </w:p>
    <w:p w14:paraId="4B1835F1" w14:textId="77777777" w:rsidR="00701300" w:rsidRDefault="00701300" w:rsidP="009863F0"/>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32BDB3BC" w:rsidR="008A4B60" w:rsidRDefault="00653094" w:rsidP="009863F0">
      <w:r>
        <w:t xml:space="preserve">As mentioned elsewhere in this proposal, we have focused our efforts on science missions and addressing the lessons learned from these missions.  </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7E42765E" w14:textId="77777777" w:rsidR="002E06C4" w:rsidRDefault="00653094" w:rsidP="002E06C4">
      <w:r>
        <w:t xml:space="preserve"> </w:t>
      </w:r>
      <w:r w:rsidR="002E06C4">
        <w:tab/>
      </w:r>
    </w:p>
    <w:p w14:paraId="3E9DCBA5" w14:textId="1D614783" w:rsidR="00701300" w:rsidRDefault="002E06C4" w:rsidP="002E06C4">
      <w:r>
        <w:t xml:space="preserve">Magdalena Carranza (Monterey Bay Aquarium Research Institute, United States) "Can We Infer Vertical Mixing Rates from Argo Float’s Rising Velocities?". </w:t>
      </w:r>
      <w:r w:rsidR="00DA106D">
        <w:t xml:space="preserve">Invited talk: </w:t>
      </w:r>
      <w:r>
        <w:t>Gordon Research Seminar June 4-5 2022, Mount Holyoke College, South Hadley, MA.</w:t>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2D97037F" w:rsidR="00120473" w:rsidRDefault="00515B69" w:rsidP="009863F0">
      <w:r>
        <w:t>Josh Plant, Magdalena Carranza and Ken Johnson</w:t>
      </w:r>
      <w:r w:rsidR="0029564B">
        <w:t xml:space="preserve"> have been </w:t>
      </w:r>
      <w:r w:rsidR="00D72E1E">
        <w:t xml:space="preserve">processing and </w:t>
      </w:r>
      <w:r w:rsidR="0029564B">
        <w:t xml:space="preserve">analyzing CPF data and this work will continue in 2023.  </w:t>
      </w:r>
      <w:r w:rsidR="0072778E">
        <w:t xml:space="preserve">These </w:t>
      </w:r>
      <w:r w:rsidR="0029564B">
        <w:t xml:space="preserve">data </w:t>
      </w:r>
      <w:r w:rsidR="00003D06">
        <w:t>are</w:t>
      </w:r>
      <w:r w:rsidR="0029564B">
        <w:t xml:space="preserve"> also being used to refine the design of the upwelling experiment.</w:t>
      </w:r>
      <w:r w:rsidR="00DD0640">
        <w:t xml:space="preserve">  </w:t>
      </w:r>
      <w:r w:rsidR="00DA106D">
        <w:t xml:space="preserve">Most of the Johnson and Takeshita lab personnel have participated in CPF deployments, recoveries and mission monitoring and we expect this to continue. </w:t>
      </w:r>
      <w:r w:rsidR="00DD0640">
        <w:t xml:space="preserve">We expect to </w:t>
      </w:r>
      <w:r w:rsidR="00535D51">
        <w:t>restart monthly (or so)</w:t>
      </w:r>
      <w:r w:rsidR="00DD0640">
        <w:t xml:space="preserve"> pilot upwelling experiments later this year and </w:t>
      </w:r>
      <w:r w:rsidR="00535D51">
        <w:t>through Q3</w:t>
      </w:r>
      <w:r w:rsidR="00DD0640">
        <w:t xml:space="preserve"> of 2023 with the final milestone being a 4 week long upwelling experiment with our fleet of 3 CPFs.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1C22106D" w:rsidR="00701300" w:rsidRDefault="00E26EFD" w:rsidP="009863F0">
      <w:r>
        <w:t>We have</w:t>
      </w:r>
      <w:r w:rsidR="0029564B">
        <w:t xml:space="preserve"> 2 engineering/technology efforts</w:t>
      </w:r>
      <w:r>
        <w:t xml:space="preserve"> left on our task list</w:t>
      </w:r>
      <w:r w:rsidR="0029564B">
        <w:t>.  First is an ongoing effort to improve the CPF platform based on lessons learned from science driven deployments.</w:t>
      </w:r>
      <w:r>
        <w:t xml:space="preserve"> </w:t>
      </w:r>
      <w:r w:rsidR="00515B69">
        <w:t>To date that has been</w:t>
      </w:r>
      <w:r>
        <w:t xml:space="preserve"> primarily </w:t>
      </w:r>
      <w:r w:rsidR="00535D51">
        <w:t xml:space="preserve">relatively minor </w:t>
      </w:r>
      <w:r>
        <w:t>modifications to the existing software.</w:t>
      </w:r>
      <w:r w:rsidR="0029564B">
        <w:t xml:space="preserve">  </w:t>
      </w:r>
      <w:r w:rsidR="00535D51">
        <w:t>The s</w:t>
      </w:r>
      <w:r w:rsidR="0029564B">
        <w:t xml:space="preserve">econd </w:t>
      </w:r>
      <w:r w:rsidR="00535D51">
        <w:t xml:space="preserve">task </w:t>
      </w:r>
      <w:r w:rsidR="0029564B">
        <w:t xml:space="preserve">is an ongoing effort to increase the CPF </w:t>
      </w:r>
      <w:r>
        <w:t xml:space="preserve">mission duration.  The primary tasks here are 1) finishing the software implementation and testing of the system sleep functionality already designed into the hardware. 2) Finishing the design, test and integration of the higher energy density Lithium primary battery pack.  We’ve improved the energy usage of the CPF buoyancy engine to the point where the CPF micro-controller is now a significant fraction of our energy consumption. </w:t>
      </w:r>
      <w:r w:rsidR="001C4360">
        <w:t>The controller we’re currently using was declared end of life a couple of years ago and w</w:t>
      </w:r>
      <w:r>
        <w:t>e’ve had a task on our list to replace th</w:t>
      </w:r>
      <w:r w:rsidR="001C4360">
        <w:t xml:space="preserve">at controller with </w:t>
      </w:r>
      <w:r>
        <w:t xml:space="preserve">a </w:t>
      </w:r>
      <w:r w:rsidR="001C4360">
        <w:t>current generation</w:t>
      </w:r>
      <w:r>
        <w:t xml:space="preserve"> </w:t>
      </w:r>
      <w:r w:rsidR="001C4360">
        <w:t>controller</w:t>
      </w:r>
      <w:r w:rsidR="006B2654">
        <w:t xml:space="preserve"> with </w:t>
      </w:r>
      <w:r w:rsidR="00B4523C">
        <w:t>more</w:t>
      </w:r>
      <w:r w:rsidR="006B2654">
        <w:t xml:space="preserve"> than 20X lower power consumption</w:t>
      </w:r>
      <w:r>
        <w:t xml:space="preserve">.  Nearly zero engineering hours have been spent on this task </w:t>
      </w:r>
      <w:r w:rsidR="00514233">
        <w:t>in recent year</w:t>
      </w:r>
      <w:r w:rsidR="006B2654">
        <w:t>s</w:t>
      </w:r>
      <w:r w:rsidR="00514233">
        <w:t xml:space="preserve">.  The upwelling experiment is our highest priority but </w:t>
      </w:r>
      <w:r>
        <w:t xml:space="preserve">we’d like to restart this </w:t>
      </w:r>
      <w:r w:rsidR="0012769E">
        <w:t>task</w:t>
      </w:r>
      <w:r>
        <w:t xml:space="preserve"> </w:t>
      </w:r>
      <w:r w:rsidR="00514233">
        <w:t xml:space="preserve">when </w:t>
      </w:r>
      <w:r w:rsidR="00B4523C">
        <w:t>time is available</w:t>
      </w:r>
      <w:r w:rsidR="00514233">
        <w:t>.</w:t>
      </w:r>
      <w:r w:rsidR="00DD0640">
        <w:t xml:space="preserve">  No shared </w:t>
      </w:r>
      <w:r w:rsidR="00B4523C">
        <w:t xml:space="preserve">engineering </w:t>
      </w:r>
      <w:r w:rsidR="00DD0640">
        <w:t>resources are requested for this effort.</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lastRenderedPageBreak/>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0839F3CA" w:rsidR="00701300" w:rsidRDefault="00A026BE" w:rsidP="009863F0">
      <w:r>
        <w:t xml:space="preserve">We expect to be running about 1 CPF mission per month through Q3 of 2023.  Each mission is nominally </w:t>
      </w:r>
      <w:r w:rsidR="00B4523C">
        <w:t xml:space="preserve">half </w:t>
      </w:r>
      <w:r>
        <w:t xml:space="preserve">a Paragon day for deployment and </w:t>
      </w:r>
      <w:r w:rsidR="00B4523C">
        <w:t xml:space="preserve">half </w:t>
      </w:r>
      <w:r>
        <w:t xml:space="preserve">a Paragon day for recovery.  However, it seems prudent to add 4 Paragon days for contingency.  At this point we have a number of Johnson and Takeshita lab personnel trained as crew for these deployments and recoveries. Several of these are “Paragon captains in training”.  We have been covering the Paragon captain duties with a combination of Jared and Gene to help get our Paragon captains in training fully qualified. </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326EAE" w:rsidR="00B12E69" w:rsidRDefault="001A0531" w:rsidP="009863F0">
      <w:r>
        <w:t>A fleet of 3 CPFs</w:t>
      </w:r>
      <w:r w:rsidR="0078486C">
        <w:t xml:space="preserve"> and the requisite infrastructure ready for operational science missions.</w:t>
      </w:r>
    </w:p>
    <w:p w14:paraId="7A6B3F28" w14:textId="77777777" w:rsidR="00B12E69" w:rsidRDefault="00B12E69" w:rsidP="009863F0">
      <w:pPr>
        <w:rPr>
          <w:b/>
          <w:bCs/>
        </w:rPr>
      </w:pPr>
    </w:p>
    <w:sectPr w:rsidR="00B12E69" w:rsidSect="00AF3D00">
      <w:headerReference w:type="default" r:id="rId17"/>
      <w:footerReference w:type="default" r:id="rId18"/>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57331" w14:textId="77777777" w:rsidR="00D57C88" w:rsidRDefault="00D57C88">
      <w:r>
        <w:separator/>
      </w:r>
    </w:p>
  </w:endnote>
  <w:endnote w:type="continuationSeparator" w:id="0">
    <w:p w14:paraId="7BE7FBE7" w14:textId="77777777" w:rsidR="00D57C88" w:rsidRDefault="00D5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D57C88" w:rsidRDefault="00D57C88" w:rsidP="001679D0">
    <w:pPr>
      <w:pStyle w:val="Footer"/>
      <w:jc w:val="center"/>
    </w:pPr>
    <w:r>
      <w:t xml:space="preserve">Page </w:t>
    </w:r>
    <w:r>
      <w:fldChar w:fldCharType="begin"/>
    </w:r>
    <w:r>
      <w:instrText xml:space="preserve"> PAGE </w:instrText>
    </w:r>
    <w:r>
      <w:fldChar w:fldCharType="separate"/>
    </w:r>
    <w:r>
      <w:rPr>
        <w:noProof/>
      </w:rPr>
      <w:t>15</w:t>
    </w:r>
    <w:r>
      <w:fldChar w:fldCharType="end"/>
    </w:r>
    <w:r>
      <w:t xml:space="preserve"> of </w:t>
    </w:r>
    <w:r>
      <w:rPr>
        <w:noProof/>
      </w:rPr>
      <w:fldChar w:fldCharType="begin"/>
    </w:r>
    <w:r>
      <w:rPr>
        <w:noProof/>
      </w:rPr>
      <w:instrText xml:space="preserve"> NUMPAGES </w:instrText>
    </w:r>
    <w:r>
      <w:rPr>
        <w:noProof/>
      </w:rPr>
      <w:fldChar w:fldCharType="separate"/>
    </w:r>
    <w:r>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887D2" w14:textId="77777777" w:rsidR="00D57C88" w:rsidRDefault="00D57C88">
      <w:r>
        <w:separator/>
      </w:r>
    </w:p>
  </w:footnote>
  <w:footnote w:type="continuationSeparator" w:id="0">
    <w:p w14:paraId="7F646BA0" w14:textId="77777777" w:rsidR="00D57C88" w:rsidRDefault="00D57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C087D44" w:rsidR="00D57C88" w:rsidRPr="001679D0" w:rsidRDefault="00D57C88" w:rsidP="0099545F">
    <w:pPr>
      <w:pStyle w:val="Header"/>
      <w:jc w:val="center"/>
      <w:rPr>
        <w:b/>
        <w:i/>
        <w:color w:val="999999"/>
      </w:rPr>
    </w:pPr>
    <w:r>
      <w:rPr>
        <w:b/>
        <w:i/>
        <w:color w:val="999999"/>
      </w:rPr>
      <w:t>2023</w:t>
    </w:r>
    <w:r w:rsidRPr="001679D0">
      <w:rPr>
        <w:b/>
        <w:i/>
        <w:color w:val="999999"/>
      </w:rPr>
      <w:t xml:space="preserve"> Proposal Process – Internal-Only Projects</w:t>
    </w:r>
  </w:p>
  <w:p w14:paraId="73FE3337" w14:textId="211298C2" w:rsidR="00D57C88" w:rsidRPr="001679D0" w:rsidRDefault="00D57C88" w:rsidP="0099545F">
    <w:pPr>
      <w:pStyle w:val="Header"/>
      <w:jc w:val="center"/>
      <w:rPr>
        <w:b/>
        <w:i/>
        <w:color w:val="999999"/>
      </w:rPr>
    </w:pPr>
    <w:r w:rsidRPr="001679D0">
      <w:rPr>
        <w:b/>
        <w:i/>
        <w:color w:val="999999"/>
      </w:rPr>
      <w:t xml:space="preserve">Submission Deadlines: Phase I </w:t>
    </w:r>
    <w:r>
      <w:rPr>
        <w:b/>
        <w:i/>
        <w:color w:val="999999"/>
      </w:rPr>
      <w:t>– July 13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8</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5A41E0C"/>
    <w:multiLevelType w:val="hybridMultilevel"/>
    <w:tmpl w:val="2AF41DDA"/>
    <w:lvl w:ilvl="0" w:tplc="7384EC48">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7B0BE8"/>
    <w:multiLevelType w:val="multilevel"/>
    <w:tmpl w:val="5E3CA9C0"/>
    <w:lvl w:ilvl="0">
      <w:start w:val="1"/>
      <w:numFmt w:val="decimal"/>
      <w:lvlText w:val="%1."/>
      <w:lvlJc w:val="left"/>
      <w:pPr>
        <w:ind w:left="-54" w:firstLine="144"/>
      </w:pPr>
      <w:rPr>
        <w:rFonts w:hint="default"/>
      </w:rPr>
    </w:lvl>
    <w:lvl w:ilvl="1">
      <w:start w:val="1"/>
      <w:numFmt w:val="decimal"/>
      <w:lvlText w:val="%1.%2."/>
      <w:lvlJc w:val="left"/>
      <w:pPr>
        <w:ind w:left="144" w:firstLine="144"/>
      </w:pPr>
      <w:rPr>
        <w:rFonts w:hint="default"/>
      </w:rPr>
    </w:lvl>
    <w:lvl w:ilvl="2">
      <w:start w:val="1"/>
      <w:numFmt w:val="decimal"/>
      <w:lvlText w:val="%1.%2.%3."/>
      <w:lvlJc w:val="left"/>
      <w:pPr>
        <w:ind w:left="288" w:firstLine="144"/>
      </w:pPr>
      <w:rPr>
        <w:rFonts w:hint="default"/>
      </w:rPr>
    </w:lvl>
    <w:lvl w:ilvl="3">
      <w:start w:val="1"/>
      <w:numFmt w:val="decimal"/>
      <w:lvlText w:val="%1.%2.%3.%4."/>
      <w:lvlJc w:val="left"/>
      <w:pPr>
        <w:ind w:left="432" w:firstLine="144"/>
      </w:pPr>
      <w:rPr>
        <w:rFonts w:hint="default"/>
      </w:rPr>
    </w:lvl>
    <w:lvl w:ilvl="4">
      <w:start w:val="1"/>
      <w:numFmt w:val="decimal"/>
      <w:lvlText w:val="%1.%2.%3.%4.%5."/>
      <w:lvlJc w:val="left"/>
      <w:pPr>
        <w:ind w:left="576" w:firstLine="144"/>
      </w:pPr>
      <w:rPr>
        <w:rFonts w:hint="default"/>
      </w:rPr>
    </w:lvl>
    <w:lvl w:ilvl="5">
      <w:start w:val="1"/>
      <w:numFmt w:val="decimal"/>
      <w:lvlText w:val="%1.%2.%3.%4.%5.%6."/>
      <w:lvlJc w:val="left"/>
      <w:pPr>
        <w:ind w:left="720" w:firstLine="144"/>
      </w:pPr>
      <w:rPr>
        <w:rFonts w:hint="default"/>
      </w:rPr>
    </w:lvl>
    <w:lvl w:ilvl="6">
      <w:start w:val="1"/>
      <w:numFmt w:val="decimal"/>
      <w:lvlText w:val="%1.%2.%3.%4.%5.%6.%7."/>
      <w:lvlJc w:val="left"/>
      <w:pPr>
        <w:ind w:left="864" w:firstLine="144"/>
      </w:pPr>
      <w:rPr>
        <w:rFonts w:hint="default"/>
      </w:rPr>
    </w:lvl>
    <w:lvl w:ilvl="7">
      <w:start w:val="1"/>
      <w:numFmt w:val="decimal"/>
      <w:lvlText w:val="%1.%2.%3.%4.%5.%6.%7.%8."/>
      <w:lvlJc w:val="left"/>
      <w:pPr>
        <w:ind w:left="1008" w:firstLine="144"/>
      </w:pPr>
      <w:rPr>
        <w:rFonts w:hint="default"/>
      </w:rPr>
    </w:lvl>
    <w:lvl w:ilvl="8">
      <w:start w:val="1"/>
      <w:numFmt w:val="decimal"/>
      <w:lvlText w:val="%1.%2.%3.%4.%5.%6.%7.%8.%9."/>
      <w:lvlJc w:val="left"/>
      <w:pPr>
        <w:ind w:left="1152" w:firstLine="144"/>
      </w:pPr>
      <w:rPr>
        <w:rFonts w:hint="default"/>
      </w:rPr>
    </w:lvl>
  </w:abstractNum>
  <w:abstractNum w:abstractNumId="14"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749A0A5B"/>
    <w:multiLevelType w:val="hybridMultilevel"/>
    <w:tmpl w:val="3C88B11E"/>
    <w:lvl w:ilvl="0" w:tplc="7590A152">
      <w:start w:val="1"/>
      <w:numFmt w:val="decimal"/>
      <w:lvlText w:val="WP %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2"/>
  </w:num>
  <w:num w:numId="2">
    <w:abstractNumId w:val="18"/>
  </w:num>
  <w:num w:numId="3">
    <w:abstractNumId w:val="7"/>
  </w:num>
  <w:num w:numId="4">
    <w:abstractNumId w:val="15"/>
  </w:num>
  <w:num w:numId="5">
    <w:abstractNumId w:val="29"/>
  </w:num>
  <w:num w:numId="6">
    <w:abstractNumId w:val="0"/>
  </w:num>
  <w:num w:numId="7">
    <w:abstractNumId w:val="26"/>
  </w:num>
  <w:num w:numId="8">
    <w:abstractNumId w:val="6"/>
  </w:num>
  <w:num w:numId="9">
    <w:abstractNumId w:val="21"/>
  </w:num>
  <w:num w:numId="10">
    <w:abstractNumId w:val="17"/>
  </w:num>
  <w:num w:numId="11">
    <w:abstractNumId w:val="10"/>
  </w:num>
  <w:num w:numId="12">
    <w:abstractNumId w:val="3"/>
  </w:num>
  <w:num w:numId="13">
    <w:abstractNumId w:val="9"/>
  </w:num>
  <w:num w:numId="14">
    <w:abstractNumId w:val="20"/>
  </w:num>
  <w:num w:numId="15">
    <w:abstractNumId w:val="16"/>
  </w:num>
  <w:num w:numId="16">
    <w:abstractNumId w:val="5"/>
  </w:num>
  <w:num w:numId="17">
    <w:abstractNumId w:val="28"/>
  </w:num>
  <w:num w:numId="18">
    <w:abstractNumId w:val="23"/>
  </w:num>
  <w:num w:numId="19">
    <w:abstractNumId w:val="12"/>
  </w:num>
  <w:num w:numId="20">
    <w:abstractNumId w:val="2"/>
  </w:num>
  <w:num w:numId="21">
    <w:abstractNumId w:val="4"/>
  </w:num>
  <w:num w:numId="22">
    <w:abstractNumId w:val="24"/>
  </w:num>
  <w:num w:numId="23">
    <w:abstractNumId w:val="8"/>
  </w:num>
  <w:num w:numId="24">
    <w:abstractNumId w:val="1"/>
  </w:num>
  <w:num w:numId="25">
    <w:abstractNumId w:val="25"/>
  </w:num>
  <w:num w:numId="26">
    <w:abstractNumId w:val="14"/>
  </w:num>
  <w:num w:numId="27">
    <w:abstractNumId w:val="19"/>
  </w:num>
  <w:num w:numId="28">
    <w:abstractNumId w:val="13"/>
  </w:num>
  <w:num w:numId="29">
    <w:abstractNumId w:val="27"/>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729"/>
    <w:rsid w:val="00003D06"/>
    <w:rsid w:val="000114C6"/>
    <w:rsid w:val="00012F24"/>
    <w:rsid w:val="0001446F"/>
    <w:rsid w:val="000220A0"/>
    <w:rsid w:val="0002485F"/>
    <w:rsid w:val="00032294"/>
    <w:rsid w:val="00047662"/>
    <w:rsid w:val="00047B40"/>
    <w:rsid w:val="00060129"/>
    <w:rsid w:val="00060581"/>
    <w:rsid w:val="000614F7"/>
    <w:rsid w:val="00066DEE"/>
    <w:rsid w:val="000735BD"/>
    <w:rsid w:val="00076F99"/>
    <w:rsid w:val="00096A4F"/>
    <w:rsid w:val="000A0E1B"/>
    <w:rsid w:val="000B19FA"/>
    <w:rsid w:val="000B1DB1"/>
    <w:rsid w:val="000B23B5"/>
    <w:rsid w:val="000B6BE7"/>
    <w:rsid w:val="000C7FCE"/>
    <w:rsid w:val="000D64FE"/>
    <w:rsid w:val="000D7BB3"/>
    <w:rsid w:val="000F0B37"/>
    <w:rsid w:val="000F3856"/>
    <w:rsid w:val="001037AF"/>
    <w:rsid w:val="0011306D"/>
    <w:rsid w:val="00116C76"/>
    <w:rsid w:val="00120473"/>
    <w:rsid w:val="00120DE1"/>
    <w:rsid w:val="001263E0"/>
    <w:rsid w:val="00126E66"/>
    <w:rsid w:val="0012769E"/>
    <w:rsid w:val="001328EA"/>
    <w:rsid w:val="00136D92"/>
    <w:rsid w:val="001528EB"/>
    <w:rsid w:val="001537CB"/>
    <w:rsid w:val="001672E9"/>
    <w:rsid w:val="00167557"/>
    <w:rsid w:val="001679D0"/>
    <w:rsid w:val="00175AE3"/>
    <w:rsid w:val="00186DD7"/>
    <w:rsid w:val="0019308B"/>
    <w:rsid w:val="001A0531"/>
    <w:rsid w:val="001A1006"/>
    <w:rsid w:val="001A727C"/>
    <w:rsid w:val="001B0DCF"/>
    <w:rsid w:val="001B27F5"/>
    <w:rsid w:val="001C1141"/>
    <w:rsid w:val="001C4360"/>
    <w:rsid w:val="001F7F09"/>
    <w:rsid w:val="00207D10"/>
    <w:rsid w:val="00215D7E"/>
    <w:rsid w:val="00217258"/>
    <w:rsid w:val="00224012"/>
    <w:rsid w:val="002272A2"/>
    <w:rsid w:val="002379F3"/>
    <w:rsid w:val="0024196D"/>
    <w:rsid w:val="00246B1A"/>
    <w:rsid w:val="00251D50"/>
    <w:rsid w:val="00254F89"/>
    <w:rsid w:val="00271CFD"/>
    <w:rsid w:val="00272562"/>
    <w:rsid w:val="00273E55"/>
    <w:rsid w:val="0027408C"/>
    <w:rsid w:val="0028258E"/>
    <w:rsid w:val="00292E0C"/>
    <w:rsid w:val="00293E02"/>
    <w:rsid w:val="0029564B"/>
    <w:rsid w:val="002A27F6"/>
    <w:rsid w:val="002A4729"/>
    <w:rsid w:val="002A4919"/>
    <w:rsid w:val="002B71A0"/>
    <w:rsid w:val="002C3EBF"/>
    <w:rsid w:val="002C61DE"/>
    <w:rsid w:val="002D52DB"/>
    <w:rsid w:val="002E06C4"/>
    <w:rsid w:val="002E7530"/>
    <w:rsid w:val="002F5A2D"/>
    <w:rsid w:val="0030702E"/>
    <w:rsid w:val="00311D0A"/>
    <w:rsid w:val="0031347D"/>
    <w:rsid w:val="0032049B"/>
    <w:rsid w:val="003215AB"/>
    <w:rsid w:val="0033020F"/>
    <w:rsid w:val="0033099B"/>
    <w:rsid w:val="00334A6C"/>
    <w:rsid w:val="00335024"/>
    <w:rsid w:val="00337E1F"/>
    <w:rsid w:val="00350FD9"/>
    <w:rsid w:val="00356BA3"/>
    <w:rsid w:val="00357F37"/>
    <w:rsid w:val="003610F7"/>
    <w:rsid w:val="0037532A"/>
    <w:rsid w:val="00381696"/>
    <w:rsid w:val="00383870"/>
    <w:rsid w:val="003936AC"/>
    <w:rsid w:val="003953B9"/>
    <w:rsid w:val="003A6F65"/>
    <w:rsid w:val="003B3CE8"/>
    <w:rsid w:val="003B5F81"/>
    <w:rsid w:val="003D7EDC"/>
    <w:rsid w:val="003F295A"/>
    <w:rsid w:val="00404FDF"/>
    <w:rsid w:val="00406FB4"/>
    <w:rsid w:val="00422313"/>
    <w:rsid w:val="00422B3F"/>
    <w:rsid w:val="00424732"/>
    <w:rsid w:val="004357E5"/>
    <w:rsid w:val="00436B80"/>
    <w:rsid w:val="00437DF8"/>
    <w:rsid w:val="00440AAA"/>
    <w:rsid w:val="00450D17"/>
    <w:rsid w:val="00453B36"/>
    <w:rsid w:val="00454F3A"/>
    <w:rsid w:val="00457F76"/>
    <w:rsid w:val="0046323F"/>
    <w:rsid w:val="004636FB"/>
    <w:rsid w:val="00465761"/>
    <w:rsid w:val="00465CAD"/>
    <w:rsid w:val="00480B84"/>
    <w:rsid w:val="004905C0"/>
    <w:rsid w:val="00496BF0"/>
    <w:rsid w:val="00496D71"/>
    <w:rsid w:val="004A16AD"/>
    <w:rsid w:val="004A64CD"/>
    <w:rsid w:val="004C1753"/>
    <w:rsid w:val="004D14E9"/>
    <w:rsid w:val="004D4473"/>
    <w:rsid w:val="004F2729"/>
    <w:rsid w:val="0050298B"/>
    <w:rsid w:val="0050556C"/>
    <w:rsid w:val="00514233"/>
    <w:rsid w:val="00515B69"/>
    <w:rsid w:val="0051691E"/>
    <w:rsid w:val="0051702E"/>
    <w:rsid w:val="00517D9B"/>
    <w:rsid w:val="0053116A"/>
    <w:rsid w:val="005321BD"/>
    <w:rsid w:val="00535881"/>
    <w:rsid w:val="00535D51"/>
    <w:rsid w:val="005410A6"/>
    <w:rsid w:val="00554BA8"/>
    <w:rsid w:val="00554D86"/>
    <w:rsid w:val="00555B4F"/>
    <w:rsid w:val="00560F7E"/>
    <w:rsid w:val="00583820"/>
    <w:rsid w:val="00584B52"/>
    <w:rsid w:val="00586D56"/>
    <w:rsid w:val="005908C0"/>
    <w:rsid w:val="005919EB"/>
    <w:rsid w:val="0059500F"/>
    <w:rsid w:val="005965B6"/>
    <w:rsid w:val="005971B1"/>
    <w:rsid w:val="005A3FC4"/>
    <w:rsid w:val="005A42E2"/>
    <w:rsid w:val="005A6FA0"/>
    <w:rsid w:val="005B2BB5"/>
    <w:rsid w:val="005B4480"/>
    <w:rsid w:val="005C06F0"/>
    <w:rsid w:val="005C6A4F"/>
    <w:rsid w:val="005D14B7"/>
    <w:rsid w:val="005D3DC5"/>
    <w:rsid w:val="005D7D41"/>
    <w:rsid w:val="005E0095"/>
    <w:rsid w:val="005E0146"/>
    <w:rsid w:val="005E31D4"/>
    <w:rsid w:val="005E4442"/>
    <w:rsid w:val="005E7738"/>
    <w:rsid w:val="005F1836"/>
    <w:rsid w:val="005F374F"/>
    <w:rsid w:val="00613599"/>
    <w:rsid w:val="006152D9"/>
    <w:rsid w:val="00621211"/>
    <w:rsid w:val="00624758"/>
    <w:rsid w:val="0062511E"/>
    <w:rsid w:val="00631C50"/>
    <w:rsid w:val="00631EAA"/>
    <w:rsid w:val="0064118A"/>
    <w:rsid w:val="006425BD"/>
    <w:rsid w:val="00646806"/>
    <w:rsid w:val="00646CE6"/>
    <w:rsid w:val="00647A24"/>
    <w:rsid w:val="00653094"/>
    <w:rsid w:val="00655158"/>
    <w:rsid w:val="006565D2"/>
    <w:rsid w:val="00661AF0"/>
    <w:rsid w:val="0067747C"/>
    <w:rsid w:val="00680710"/>
    <w:rsid w:val="00687083"/>
    <w:rsid w:val="00694058"/>
    <w:rsid w:val="00696376"/>
    <w:rsid w:val="006B1D8D"/>
    <w:rsid w:val="006B2654"/>
    <w:rsid w:val="006C3CE4"/>
    <w:rsid w:val="006C5FD1"/>
    <w:rsid w:val="006C66A0"/>
    <w:rsid w:val="006E042B"/>
    <w:rsid w:val="006E4314"/>
    <w:rsid w:val="006E7228"/>
    <w:rsid w:val="006E7D2D"/>
    <w:rsid w:val="006F40BD"/>
    <w:rsid w:val="006F4D85"/>
    <w:rsid w:val="00701300"/>
    <w:rsid w:val="00704C58"/>
    <w:rsid w:val="00704E1D"/>
    <w:rsid w:val="007120DC"/>
    <w:rsid w:val="007144F8"/>
    <w:rsid w:val="0072778E"/>
    <w:rsid w:val="00732DF4"/>
    <w:rsid w:val="00742D94"/>
    <w:rsid w:val="00744660"/>
    <w:rsid w:val="00755D4D"/>
    <w:rsid w:val="00764B0E"/>
    <w:rsid w:val="007654E2"/>
    <w:rsid w:val="00766CC4"/>
    <w:rsid w:val="00774B2B"/>
    <w:rsid w:val="00784458"/>
    <w:rsid w:val="0078486C"/>
    <w:rsid w:val="007902A5"/>
    <w:rsid w:val="00790D99"/>
    <w:rsid w:val="007934F8"/>
    <w:rsid w:val="007A59FA"/>
    <w:rsid w:val="007A61D5"/>
    <w:rsid w:val="007B285F"/>
    <w:rsid w:val="007B3FC7"/>
    <w:rsid w:val="007B769A"/>
    <w:rsid w:val="007C2DAC"/>
    <w:rsid w:val="007C3FC4"/>
    <w:rsid w:val="007C725A"/>
    <w:rsid w:val="007D1972"/>
    <w:rsid w:val="007D1C89"/>
    <w:rsid w:val="007D48B1"/>
    <w:rsid w:val="007D7BEA"/>
    <w:rsid w:val="007E2857"/>
    <w:rsid w:val="00803658"/>
    <w:rsid w:val="0081065D"/>
    <w:rsid w:val="00812BC5"/>
    <w:rsid w:val="0081494E"/>
    <w:rsid w:val="00815323"/>
    <w:rsid w:val="00825144"/>
    <w:rsid w:val="008337DC"/>
    <w:rsid w:val="008340B6"/>
    <w:rsid w:val="00840FBE"/>
    <w:rsid w:val="008522F0"/>
    <w:rsid w:val="0086006A"/>
    <w:rsid w:val="008719BA"/>
    <w:rsid w:val="0087520C"/>
    <w:rsid w:val="00877A81"/>
    <w:rsid w:val="00887630"/>
    <w:rsid w:val="00887CDB"/>
    <w:rsid w:val="00895384"/>
    <w:rsid w:val="008A1F68"/>
    <w:rsid w:val="008A4B60"/>
    <w:rsid w:val="008A7476"/>
    <w:rsid w:val="008B4E52"/>
    <w:rsid w:val="008C071F"/>
    <w:rsid w:val="008C4CA6"/>
    <w:rsid w:val="008D232C"/>
    <w:rsid w:val="008E505B"/>
    <w:rsid w:val="008E514B"/>
    <w:rsid w:val="008F0880"/>
    <w:rsid w:val="008F299A"/>
    <w:rsid w:val="00902116"/>
    <w:rsid w:val="00905E36"/>
    <w:rsid w:val="00915EB2"/>
    <w:rsid w:val="00941CA8"/>
    <w:rsid w:val="00945BB8"/>
    <w:rsid w:val="009471ED"/>
    <w:rsid w:val="00956259"/>
    <w:rsid w:val="009648E5"/>
    <w:rsid w:val="00973506"/>
    <w:rsid w:val="009863F0"/>
    <w:rsid w:val="0098665E"/>
    <w:rsid w:val="00987346"/>
    <w:rsid w:val="00987C5D"/>
    <w:rsid w:val="0099156A"/>
    <w:rsid w:val="00994255"/>
    <w:rsid w:val="009947F3"/>
    <w:rsid w:val="0099545F"/>
    <w:rsid w:val="0099770D"/>
    <w:rsid w:val="009B59C6"/>
    <w:rsid w:val="009C1FB9"/>
    <w:rsid w:val="009C6423"/>
    <w:rsid w:val="009D309B"/>
    <w:rsid w:val="009D3573"/>
    <w:rsid w:val="009D5E4A"/>
    <w:rsid w:val="009E3E6B"/>
    <w:rsid w:val="009E4612"/>
    <w:rsid w:val="009E760B"/>
    <w:rsid w:val="009F1090"/>
    <w:rsid w:val="00A026BE"/>
    <w:rsid w:val="00A07898"/>
    <w:rsid w:val="00A102F5"/>
    <w:rsid w:val="00A20421"/>
    <w:rsid w:val="00A3012E"/>
    <w:rsid w:val="00A325C0"/>
    <w:rsid w:val="00A429E3"/>
    <w:rsid w:val="00A5000C"/>
    <w:rsid w:val="00A521A4"/>
    <w:rsid w:val="00A6351C"/>
    <w:rsid w:val="00A73030"/>
    <w:rsid w:val="00A74800"/>
    <w:rsid w:val="00A76B5F"/>
    <w:rsid w:val="00A94F11"/>
    <w:rsid w:val="00AA3AD6"/>
    <w:rsid w:val="00AA539C"/>
    <w:rsid w:val="00AB2956"/>
    <w:rsid w:val="00AB2FDF"/>
    <w:rsid w:val="00AB33E1"/>
    <w:rsid w:val="00AB47E1"/>
    <w:rsid w:val="00AB66A4"/>
    <w:rsid w:val="00AD0661"/>
    <w:rsid w:val="00AD74D2"/>
    <w:rsid w:val="00AE0BD4"/>
    <w:rsid w:val="00AE77D4"/>
    <w:rsid w:val="00AF08B5"/>
    <w:rsid w:val="00AF3D00"/>
    <w:rsid w:val="00AF668E"/>
    <w:rsid w:val="00B00521"/>
    <w:rsid w:val="00B102D3"/>
    <w:rsid w:val="00B12E69"/>
    <w:rsid w:val="00B137CA"/>
    <w:rsid w:val="00B166CE"/>
    <w:rsid w:val="00B33AB3"/>
    <w:rsid w:val="00B370B3"/>
    <w:rsid w:val="00B429BA"/>
    <w:rsid w:val="00B4391A"/>
    <w:rsid w:val="00B4523C"/>
    <w:rsid w:val="00B52CDF"/>
    <w:rsid w:val="00B55F1D"/>
    <w:rsid w:val="00B65F4F"/>
    <w:rsid w:val="00B700A8"/>
    <w:rsid w:val="00B7142E"/>
    <w:rsid w:val="00B72981"/>
    <w:rsid w:val="00B73730"/>
    <w:rsid w:val="00B9200D"/>
    <w:rsid w:val="00B96B02"/>
    <w:rsid w:val="00BA23BA"/>
    <w:rsid w:val="00BA300F"/>
    <w:rsid w:val="00BA50E3"/>
    <w:rsid w:val="00BB04CA"/>
    <w:rsid w:val="00BB4207"/>
    <w:rsid w:val="00BB637F"/>
    <w:rsid w:val="00BC0CA4"/>
    <w:rsid w:val="00BC3AC9"/>
    <w:rsid w:val="00BC6423"/>
    <w:rsid w:val="00BC7AE4"/>
    <w:rsid w:val="00BD1803"/>
    <w:rsid w:val="00BD3F0D"/>
    <w:rsid w:val="00BD5DB0"/>
    <w:rsid w:val="00BE0206"/>
    <w:rsid w:val="00BE7177"/>
    <w:rsid w:val="00BF38A9"/>
    <w:rsid w:val="00C03765"/>
    <w:rsid w:val="00C042ED"/>
    <w:rsid w:val="00C06022"/>
    <w:rsid w:val="00C10877"/>
    <w:rsid w:val="00C13FBA"/>
    <w:rsid w:val="00C24B53"/>
    <w:rsid w:val="00C30C4A"/>
    <w:rsid w:val="00C36F64"/>
    <w:rsid w:val="00C55E2A"/>
    <w:rsid w:val="00C56066"/>
    <w:rsid w:val="00C571FC"/>
    <w:rsid w:val="00C60644"/>
    <w:rsid w:val="00C63D57"/>
    <w:rsid w:val="00C65C40"/>
    <w:rsid w:val="00C662B8"/>
    <w:rsid w:val="00C73B82"/>
    <w:rsid w:val="00C767FB"/>
    <w:rsid w:val="00C927DF"/>
    <w:rsid w:val="00CB10FD"/>
    <w:rsid w:val="00CB2511"/>
    <w:rsid w:val="00CB3064"/>
    <w:rsid w:val="00CC4598"/>
    <w:rsid w:val="00CC4F5D"/>
    <w:rsid w:val="00CE300C"/>
    <w:rsid w:val="00CE591D"/>
    <w:rsid w:val="00CF05CC"/>
    <w:rsid w:val="00CF6EEF"/>
    <w:rsid w:val="00D109FF"/>
    <w:rsid w:val="00D11266"/>
    <w:rsid w:val="00D15F7E"/>
    <w:rsid w:val="00D16D99"/>
    <w:rsid w:val="00D176E6"/>
    <w:rsid w:val="00D26659"/>
    <w:rsid w:val="00D30C48"/>
    <w:rsid w:val="00D32A42"/>
    <w:rsid w:val="00D4694C"/>
    <w:rsid w:val="00D50122"/>
    <w:rsid w:val="00D535D2"/>
    <w:rsid w:val="00D57C88"/>
    <w:rsid w:val="00D62A28"/>
    <w:rsid w:val="00D62E12"/>
    <w:rsid w:val="00D72E1E"/>
    <w:rsid w:val="00D76DEB"/>
    <w:rsid w:val="00D81DC3"/>
    <w:rsid w:val="00D91986"/>
    <w:rsid w:val="00DA106D"/>
    <w:rsid w:val="00DB4845"/>
    <w:rsid w:val="00DC29F8"/>
    <w:rsid w:val="00DC2DCE"/>
    <w:rsid w:val="00DC3963"/>
    <w:rsid w:val="00DD0640"/>
    <w:rsid w:val="00DE2E71"/>
    <w:rsid w:val="00DE2F13"/>
    <w:rsid w:val="00DE53B9"/>
    <w:rsid w:val="00DF3258"/>
    <w:rsid w:val="00DF76E7"/>
    <w:rsid w:val="00E015A5"/>
    <w:rsid w:val="00E01CEB"/>
    <w:rsid w:val="00E0337A"/>
    <w:rsid w:val="00E04733"/>
    <w:rsid w:val="00E124A5"/>
    <w:rsid w:val="00E126FD"/>
    <w:rsid w:val="00E166D7"/>
    <w:rsid w:val="00E167F1"/>
    <w:rsid w:val="00E2330F"/>
    <w:rsid w:val="00E26EFD"/>
    <w:rsid w:val="00E3128A"/>
    <w:rsid w:val="00E447FB"/>
    <w:rsid w:val="00E47D16"/>
    <w:rsid w:val="00E60096"/>
    <w:rsid w:val="00E604C7"/>
    <w:rsid w:val="00E634C9"/>
    <w:rsid w:val="00E73BA6"/>
    <w:rsid w:val="00E815E5"/>
    <w:rsid w:val="00E84967"/>
    <w:rsid w:val="00E8674E"/>
    <w:rsid w:val="00E87CBC"/>
    <w:rsid w:val="00E94299"/>
    <w:rsid w:val="00EA2609"/>
    <w:rsid w:val="00EA2C0C"/>
    <w:rsid w:val="00EA30DC"/>
    <w:rsid w:val="00EA452E"/>
    <w:rsid w:val="00EB050B"/>
    <w:rsid w:val="00EB277E"/>
    <w:rsid w:val="00EC229C"/>
    <w:rsid w:val="00EC441F"/>
    <w:rsid w:val="00EC7C4B"/>
    <w:rsid w:val="00ED0BE0"/>
    <w:rsid w:val="00ED26D9"/>
    <w:rsid w:val="00EE2797"/>
    <w:rsid w:val="00EE34BD"/>
    <w:rsid w:val="00F00B4C"/>
    <w:rsid w:val="00F0347B"/>
    <w:rsid w:val="00F12AF6"/>
    <w:rsid w:val="00F21270"/>
    <w:rsid w:val="00F24907"/>
    <w:rsid w:val="00F26663"/>
    <w:rsid w:val="00F26B59"/>
    <w:rsid w:val="00F46C8F"/>
    <w:rsid w:val="00F501F4"/>
    <w:rsid w:val="00F60343"/>
    <w:rsid w:val="00F60BAF"/>
    <w:rsid w:val="00F91A77"/>
    <w:rsid w:val="00F92FD1"/>
    <w:rsid w:val="00F9551C"/>
    <w:rsid w:val="00FA149F"/>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uiPriority w:val="99"/>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Caption">
    <w:name w:val="caption"/>
    <w:basedOn w:val="Normal"/>
    <w:next w:val="Normal"/>
    <w:unhideWhenUsed/>
    <w:qFormat/>
    <w:rsid w:val="00C73B8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299914681">
      <w:bodyDiv w:val="1"/>
      <w:marLeft w:val="0"/>
      <w:marRight w:val="0"/>
      <w:marTop w:val="0"/>
      <w:marBottom w:val="0"/>
      <w:divBdr>
        <w:top w:val="none" w:sz="0" w:space="0" w:color="auto"/>
        <w:left w:val="none" w:sz="0" w:space="0" w:color="auto"/>
        <w:bottom w:val="none" w:sz="0" w:space="0" w:color="auto"/>
        <w:right w:val="none" w:sz="0" w:space="0" w:color="auto"/>
      </w:divBdr>
      <w:divsChild>
        <w:div w:id="727385896">
          <w:marLeft w:val="0"/>
          <w:marRight w:val="0"/>
          <w:marTop w:val="0"/>
          <w:marBottom w:val="0"/>
          <w:divBdr>
            <w:top w:val="none" w:sz="0" w:space="0" w:color="auto"/>
            <w:left w:val="none" w:sz="0" w:space="0" w:color="auto"/>
            <w:bottom w:val="none" w:sz="0" w:space="0" w:color="auto"/>
            <w:right w:val="none" w:sz="0" w:space="0" w:color="auto"/>
          </w:divBdr>
          <w:divsChild>
            <w:div w:id="209839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82364">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65416434">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1425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3.mbari.org/chemsensor/cpfviz.htm" TargetMode="External"/><Relationship Id="rId13" Type="http://schemas.openxmlformats.org/officeDocument/2006/relationships/image" Target="cid:faadd3f38985bc393c11558c35f094cbe8ea3e8b@zimbr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cid:image001.png@01D895EC.BEED68C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6AE39-3E65-4E19-A00C-12FAFCC4D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4</TotalTime>
  <Pages>9</Pages>
  <Words>2966</Words>
  <Characters>16016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18945</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Gene Massion</cp:lastModifiedBy>
  <cp:revision>3</cp:revision>
  <cp:lastPrinted>2018-04-05T20:39:00Z</cp:lastPrinted>
  <dcterms:created xsi:type="dcterms:W3CDTF">2022-09-19T15:58:00Z</dcterms:created>
  <dcterms:modified xsi:type="dcterms:W3CDTF">2022-09-19T16:02:00Z</dcterms:modified>
</cp:coreProperties>
</file>