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127B62" w:rsidRDefault="00507BCC">
      <w:pPr>
        <w:spacing w:line="240" w:lineRule="auto"/>
        <w:rPr>
          <w:sz w:val="20"/>
          <w:szCs w:val="20"/>
        </w:rPr>
      </w:pPr>
      <w:r>
        <w:rPr>
          <w:sz w:val="20"/>
          <w:szCs w:val="20"/>
        </w:rPr>
        <w:t>POSE: Phase 1: Scoping and Planning an Open Source Ecosystem to develop Coastal Ocean Observing Systems</w:t>
      </w:r>
    </w:p>
    <w:p w14:paraId="00000002" w14:textId="77777777" w:rsidR="00127B62" w:rsidRDefault="00507BCC">
      <w:pPr>
        <w:spacing w:line="240" w:lineRule="auto"/>
        <w:rPr>
          <w:sz w:val="20"/>
          <w:szCs w:val="20"/>
        </w:rPr>
      </w:pPr>
      <w:r>
        <w:rPr>
          <w:sz w:val="20"/>
          <w:szCs w:val="20"/>
        </w:rPr>
        <w:t>7 pages max.</w:t>
      </w:r>
    </w:p>
    <w:p w14:paraId="00000003" w14:textId="77777777" w:rsidR="00127B62" w:rsidRPr="00135CA9" w:rsidRDefault="00507BCC" w:rsidP="00135CA9">
      <w:pPr>
        <w:pStyle w:val="ListParagraph"/>
        <w:numPr>
          <w:ilvl w:val="0"/>
          <w:numId w:val="4"/>
        </w:numPr>
        <w:spacing w:after="0" w:line="240" w:lineRule="auto"/>
        <w:rPr>
          <w:b/>
          <w:sz w:val="20"/>
          <w:szCs w:val="20"/>
        </w:rPr>
      </w:pPr>
      <w:r w:rsidRPr="00135CA9">
        <w:rPr>
          <w:b/>
          <w:sz w:val="20"/>
          <w:szCs w:val="20"/>
        </w:rPr>
        <w:t>Project Summary</w:t>
      </w:r>
    </w:p>
    <w:p w14:paraId="00000004" w14:textId="5F1E61C3" w:rsidR="00127B62" w:rsidRPr="00135CA9" w:rsidRDefault="00507BCC" w:rsidP="001C1D2E">
      <w:pPr>
        <w:pStyle w:val="ListParagraph"/>
        <w:spacing w:after="0" w:line="240" w:lineRule="auto"/>
        <w:ind w:left="0"/>
        <w:rPr>
          <w:sz w:val="20"/>
          <w:szCs w:val="20"/>
        </w:rPr>
      </w:pPr>
      <w:r w:rsidRPr="00135CA9">
        <w:rPr>
          <w:sz w:val="20"/>
          <w:szCs w:val="20"/>
        </w:rPr>
        <w:t xml:space="preserve">Improving </w:t>
      </w:r>
      <w:r w:rsidR="00676E4C" w:rsidRPr="00135CA9">
        <w:rPr>
          <w:sz w:val="20"/>
          <w:szCs w:val="20"/>
        </w:rPr>
        <w:t>the quality and quantity of</w:t>
      </w:r>
      <w:r w:rsidRPr="00135CA9">
        <w:rPr>
          <w:sz w:val="20"/>
          <w:szCs w:val="20"/>
        </w:rPr>
        <w:t xml:space="preserve"> synoptic ocean observations</w:t>
      </w:r>
      <w:r>
        <w:rPr>
          <w:sz w:val="20"/>
          <w:szCs w:val="20"/>
        </w:rPr>
        <w:t>, particularly</w:t>
      </w:r>
      <w:r w:rsidRPr="00135CA9">
        <w:rPr>
          <w:sz w:val="20"/>
          <w:szCs w:val="20"/>
        </w:rPr>
        <w:t xml:space="preserve"> in the coastal zones of the world’s oceans</w:t>
      </w:r>
      <w:r w:rsidR="00676E4C" w:rsidRPr="00135CA9">
        <w:rPr>
          <w:sz w:val="20"/>
          <w:szCs w:val="20"/>
        </w:rPr>
        <w:t>,</w:t>
      </w:r>
      <w:r w:rsidRPr="00135CA9">
        <w:rPr>
          <w:sz w:val="20"/>
          <w:szCs w:val="20"/>
        </w:rPr>
        <w:t xml:space="preserve"> has been identified as a critical societal need in a variety of reports and </w:t>
      </w:r>
      <w:proofErr w:type="spellStart"/>
      <w:r w:rsidRPr="00135CA9">
        <w:rPr>
          <w:sz w:val="20"/>
          <w:szCs w:val="20"/>
        </w:rPr>
        <w:t>studies</w:t>
      </w:r>
      <w:r w:rsidRPr="00135CA9">
        <w:rPr>
          <w:sz w:val="20"/>
          <w:szCs w:val="20"/>
          <w:vertAlign w:val="superscript"/>
        </w:rPr>
        <w:t>ref</w:t>
      </w:r>
      <w:proofErr w:type="spellEnd"/>
      <w:r w:rsidRPr="00135CA9">
        <w:rPr>
          <w:sz w:val="20"/>
          <w:szCs w:val="20"/>
        </w:rPr>
        <w:t>. MBARI has developed an autonomous coastal profiling float</w:t>
      </w:r>
      <w:r w:rsidRPr="00135CA9">
        <w:rPr>
          <w:sz w:val="20"/>
          <w:szCs w:val="20"/>
          <w:vertAlign w:val="superscript"/>
        </w:rPr>
        <w:t>1</w:t>
      </w:r>
      <w:r w:rsidRPr="00135CA9">
        <w:rPr>
          <w:sz w:val="20"/>
          <w:szCs w:val="20"/>
        </w:rPr>
        <w:t xml:space="preserve"> (CPF) optimized for work in the coastal zone (figure 1). The CPF integrates a suite of biogeochemical sensors aimed at understanding the health of the ocean</w:t>
      </w:r>
      <w:r w:rsidR="00676E4C" w:rsidRPr="00135CA9">
        <w:rPr>
          <w:sz w:val="20"/>
          <w:szCs w:val="20"/>
        </w:rPr>
        <w:t xml:space="preserve"> in a cost effect observing platform</w:t>
      </w:r>
      <w:r w:rsidRPr="00135CA9">
        <w:rPr>
          <w:sz w:val="20"/>
          <w:szCs w:val="20"/>
        </w:rPr>
        <w:t xml:space="preserve">. </w:t>
      </w:r>
      <w:r w:rsidR="00676E4C" w:rsidRPr="00135CA9">
        <w:rPr>
          <w:sz w:val="20"/>
          <w:szCs w:val="20"/>
        </w:rPr>
        <w:t>A</w:t>
      </w:r>
      <w:r w:rsidRPr="00135CA9">
        <w:rPr>
          <w:sz w:val="20"/>
          <w:szCs w:val="20"/>
        </w:rPr>
        <w:t xml:space="preserve"> single CPF can be deployed to acquire a broad suite of biogeochemical (BGC) data</w:t>
      </w:r>
      <w:r w:rsidR="00676E4C" w:rsidRPr="00135CA9">
        <w:rPr>
          <w:sz w:val="20"/>
          <w:szCs w:val="20"/>
        </w:rPr>
        <w:t xml:space="preserve"> or in an</w:t>
      </w:r>
      <w:r w:rsidRPr="00135CA9">
        <w:rPr>
          <w:sz w:val="20"/>
          <w:szCs w:val="20"/>
        </w:rPr>
        <w:t xml:space="preserve"> array of a few to hundreds of CPFs as a coastal ocean observing system (COOS) targeting a wide range of problems of national and societal importance. The goal of the work proposed herein is to scope and plan the effort required to move the CPF technology into an open source ecosystem (OSE) through which a wide range of users can develop and operate a COOS fit for their specific purpose.  Our target users include agencies with programs that have an operational mandate e.g. the NOAA Integrated Ecosystem Assessment program and US Regional Fishery Management Councils, NGOs as well as government, non-profit and academic research groups. </w:t>
      </w:r>
    </w:p>
    <w:p w14:paraId="00000005" w14:textId="77777777" w:rsidR="00127B62" w:rsidRDefault="00127B62" w:rsidP="001C1D2E">
      <w:pPr>
        <w:spacing w:after="0" w:line="240" w:lineRule="auto"/>
        <w:rPr>
          <w:sz w:val="20"/>
          <w:szCs w:val="20"/>
        </w:rPr>
      </w:pPr>
    </w:p>
    <w:p w14:paraId="00000006" w14:textId="6159F2EC" w:rsidR="00127B62" w:rsidRPr="00135CA9" w:rsidRDefault="00507BCC" w:rsidP="001C1D2E">
      <w:pPr>
        <w:pStyle w:val="ListParagraph"/>
        <w:spacing w:after="0" w:line="240" w:lineRule="auto"/>
        <w:ind w:left="0"/>
        <w:rPr>
          <w:sz w:val="20"/>
          <w:szCs w:val="20"/>
        </w:rPr>
      </w:pPr>
      <w:r w:rsidRPr="00135CA9">
        <w:rPr>
          <w:sz w:val="20"/>
          <w:szCs w:val="20"/>
        </w:rPr>
        <w:t xml:space="preserve">Ocean observations have informed weather forecasts, climate predictions, fisheries management and have shown us how the oceans are changing over </w:t>
      </w:r>
      <w:proofErr w:type="spellStart"/>
      <w:r w:rsidRPr="00135CA9">
        <w:rPr>
          <w:sz w:val="20"/>
          <w:szCs w:val="20"/>
        </w:rPr>
        <w:t>time</w:t>
      </w:r>
      <w:r w:rsidRPr="00135CA9">
        <w:rPr>
          <w:sz w:val="20"/>
          <w:szCs w:val="20"/>
          <w:vertAlign w:val="superscript"/>
        </w:rPr>
        <w:t>ref</w:t>
      </w:r>
      <w:proofErr w:type="spellEnd"/>
      <w:r w:rsidRPr="00135CA9">
        <w:rPr>
          <w:sz w:val="20"/>
          <w:szCs w:val="20"/>
        </w:rPr>
        <w:t xml:space="preserve">. Sustainable ocean observing systems based on profiling float technology, e.g.  </w:t>
      </w:r>
      <w:proofErr w:type="spellStart"/>
      <w:proofErr w:type="gramStart"/>
      <w:r w:rsidRPr="00135CA9">
        <w:rPr>
          <w:sz w:val="20"/>
          <w:szCs w:val="20"/>
        </w:rPr>
        <w:t>Argo</w:t>
      </w:r>
      <w:r w:rsidRPr="00135CA9">
        <w:rPr>
          <w:sz w:val="20"/>
          <w:szCs w:val="20"/>
          <w:vertAlign w:val="superscript"/>
        </w:rPr>
        <w:t>ref</w:t>
      </w:r>
      <w:proofErr w:type="spellEnd"/>
      <w:r w:rsidRPr="00135CA9">
        <w:rPr>
          <w:sz w:val="20"/>
          <w:szCs w:val="20"/>
        </w:rPr>
        <w:t xml:space="preserve"> ,</w:t>
      </w:r>
      <w:proofErr w:type="gramEnd"/>
      <w:r w:rsidRPr="00135CA9">
        <w:rPr>
          <w:sz w:val="20"/>
          <w:szCs w:val="20"/>
        </w:rPr>
        <w:t xml:space="preserve"> </w:t>
      </w:r>
      <w:proofErr w:type="spellStart"/>
      <w:r w:rsidRPr="00135CA9">
        <w:rPr>
          <w:sz w:val="20"/>
          <w:szCs w:val="20"/>
        </w:rPr>
        <w:t>SOCCOM</w:t>
      </w:r>
      <w:r w:rsidRPr="00135CA9">
        <w:rPr>
          <w:sz w:val="20"/>
          <w:szCs w:val="20"/>
          <w:vertAlign w:val="superscript"/>
        </w:rPr>
        <w:t>ref</w:t>
      </w:r>
      <w:proofErr w:type="spellEnd"/>
      <w:r w:rsidRPr="00135CA9">
        <w:rPr>
          <w:sz w:val="20"/>
          <w:szCs w:val="20"/>
        </w:rPr>
        <w:t xml:space="preserve"> and GO-</w:t>
      </w:r>
      <w:proofErr w:type="spellStart"/>
      <w:r w:rsidRPr="00135CA9">
        <w:rPr>
          <w:sz w:val="20"/>
          <w:szCs w:val="20"/>
        </w:rPr>
        <w:t>BGC</w:t>
      </w:r>
      <w:r w:rsidRPr="00135CA9">
        <w:rPr>
          <w:sz w:val="20"/>
          <w:szCs w:val="20"/>
          <w:vertAlign w:val="superscript"/>
        </w:rPr>
        <w:t>ref</w:t>
      </w:r>
      <w:proofErr w:type="spellEnd"/>
      <w:r w:rsidRPr="00135CA9">
        <w:rPr>
          <w:sz w:val="20"/>
          <w:szCs w:val="20"/>
        </w:rPr>
        <w:t xml:space="preserve"> have been providing long term, ecosystem scale, 4D data in the deep ocean at arguably the lowest cost per data point of any current ocean observing technology.  As successful as these systems </w:t>
      </w:r>
      <w:proofErr w:type="spellStart"/>
      <w:r w:rsidRPr="00135CA9">
        <w:rPr>
          <w:sz w:val="20"/>
          <w:szCs w:val="20"/>
        </w:rPr>
        <w:t>are</w:t>
      </w:r>
      <w:r w:rsidRPr="00135CA9">
        <w:rPr>
          <w:sz w:val="20"/>
          <w:szCs w:val="20"/>
          <w:vertAlign w:val="superscript"/>
        </w:rPr>
        <w:t>ref</w:t>
      </w:r>
      <w:proofErr w:type="spellEnd"/>
      <w:r w:rsidRPr="00135CA9">
        <w:rPr>
          <w:sz w:val="20"/>
          <w:szCs w:val="20"/>
        </w:rPr>
        <w:t xml:space="preserve">, they do not extend into shallower, coastal zones. These coastal zones play an out-sized role in primary </w:t>
      </w:r>
      <w:proofErr w:type="spellStart"/>
      <w:r w:rsidRPr="00135CA9">
        <w:rPr>
          <w:sz w:val="20"/>
          <w:szCs w:val="20"/>
        </w:rPr>
        <w:t>production</w:t>
      </w:r>
      <w:r w:rsidRPr="00135CA9">
        <w:rPr>
          <w:sz w:val="20"/>
          <w:szCs w:val="20"/>
          <w:vertAlign w:val="superscript"/>
        </w:rPr>
        <w:t>ref</w:t>
      </w:r>
      <w:proofErr w:type="spellEnd"/>
      <w:r w:rsidRPr="00135CA9">
        <w:rPr>
          <w:sz w:val="20"/>
          <w:szCs w:val="20"/>
        </w:rPr>
        <w:t>, and by extension the overall health of the ocean.  This is the target for MBARI’s coastal</w:t>
      </w:r>
      <w:r w:rsidR="00676E4C" w:rsidRPr="00135CA9">
        <w:rPr>
          <w:sz w:val="20"/>
          <w:szCs w:val="20"/>
        </w:rPr>
        <w:t xml:space="preserve"> ocean</w:t>
      </w:r>
      <w:r w:rsidRPr="00135CA9">
        <w:rPr>
          <w:sz w:val="20"/>
          <w:szCs w:val="20"/>
        </w:rPr>
        <w:t xml:space="preserve"> observing system. </w:t>
      </w:r>
    </w:p>
    <w:p w14:paraId="00000007" w14:textId="77777777" w:rsidR="00127B62" w:rsidRDefault="00127B62" w:rsidP="001C1D2E">
      <w:pPr>
        <w:spacing w:after="0" w:line="240" w:lineRule="auto"/>
        <w:rPr>
          <w:sz w:val="20"/>
          <w:szCs w:val="20"/>
        </w:rPr>
      </w:pPr>
    </w:p>
    <w:p w14:paraId="00000008" w14:textId="753D180D" w:rsidR="00127B62" w:rsidRPr="00135CA9" w:rsidRDefault="00507BCC" w:rsidP="001C1D2E">
      <w:pPr>
        <w:pStyle w:val="ListParagraph"/>
        <w:spacing w:after="0" w:line="240" w:lineRule="auto"/>
        <w:ind w:left="0"/>
        <w:rPr>
          <w:sz w:val="20"/>
          <w:szCs w:val="20"/>
        </w:rPr>
      </w:pPr>
      <w:r w:rsidRPr="00135CA9">
        <w:rPr>
          <w:sz w:val="20"/>
          <w:szCs w:val="20"/>
        </w:rPr>
        <w:t xml:space="preserve">The CPF measures an important set of essential </w:t>
      </w:r>
      <w:proofErr w:type="gramStart"/>
      <w:r w:rsidRPr="00135CA9">
        <w:rPr>
          <w:sz w:val="20"/>
          <w:szCs w:val="20"/>
        </w:rPr>
        <w:t>ocean</w:t>
      </w:r>
      <w:proofErr w:type="gramEnd"/>
      <w:r w:rsidRPr="00135CA9">
        <w:rPr>
          <w:sz w:val="20"/>
          <w:szCs w:val="20"/>
        </w:rPr>
        <w:t xml:space="preserve"> variables</w:t>
      </w:r>
      <w:r w:rsidRPr="00135CA9">
        <w:rPr>
          <w:sz w:val="20"/>
          <w:szCs w:val="20"/>
          <w:vertAlign w:val="superscript"/>
        </w:rPr>
        <w:t>6</w:t>
      </w:r>
      <w:r w:rsidRPr="00135CA9">
        <w:rPr>
          <w:sz w:val="20"/>
          <w:szCs w:val="20"/>
        </w:rPr>
        <w:t xml:space="preserve"> that can be used to assess ocean health: salinity, temperature, depth, oxygen, pH, nitrate (a basic ocean nutrient), chlorophyll, turbidity and optical radiation.  The CPF profiles from the seafloor to the surface at depths up to 350 meters and transmits the data to shore via the Iridium satellite network after each profile. The expected mission life for the CPF is 100 profiles spread as needed over as much as 1 year before the batteries need to be recharged. An equally important part of the existing </w:t>
      </w:r>
      <w:r w:rsidR="00676E4C" w:rsidRPr="00135CA9">
        <w:rPr>
          <w:sz w:val="20"/>
          <w:szCs w:val="20"/>
        </w:rPr>
        <w:t>CPF technology</w:t>
      </w:r>
      <w:r w:rsidRPr="00135CA9">
        <w:rPr>
          <w:sz w:val="20"/>
          <w:szCs w:val="20"/>
        </w:rPr>
        <w:t xml:space="preserve"> is a data processing workflow with the software tools required to turn raw sensor data into publicly accessible, </w:t>
      </w:r>
      <w:r w:rsidR="00676E4C" w:rsidRPr="00135CA9">
        <w:rPr>
          <w:sz w:val="20"/>
          <w:szCs w:val="20"/>
        </w:rPr>
        <w:t>quality-controlled, useful</w:t>
      </w:r>
      <w:r w:rsidRPr="00135CA9">
        <w:rPr>
          <w:sz w:val="20"/>
          <w:szCs w:val="20"/>
        </w:rPr>
        <w:t xml:space="preserve"> data products.</w:t>
      </w:r>
    </w:p>
    <w:p w14:paraId="00000009" w14:textId="77777777" w:rsidR="00127B62" w:rsidRDefault="00127B62" w:rsidP="001C1D2E">
      <w:pPr>
        <w:spacing w:after="0" w:line="240" w:lineRule="auto"/>
        <w:rPr>
          <w:sz w:val="20"/>
          <w:szCs w:val="20"/>
        </w:rPr>
      </w:pPr>
    </w:p>
    <w:p w14:paraId="0000000A" w14:textId="36E99B77" w:rsidR="00127B62" w:rsidRPr="00135CA9" w:rsidRDefault="00507BCC" w:rsidP="001C1D2E">
      <w:pPr>
        <w:pStyle w:val="ListParagraph"/>
        <w:spacing w:after="0" w:line="240" w:lineRule="auto"/>
        <w:ind w:left="0"/>
        <w:rPr>
          <w:sz w:val="20"/>
          <w:szCs w:val="20"/>
        </w:rPr>
      </w:pPr>
      <w:r w:rsidRPr="00135CA9">
        <w:rPr>
          <w:sz w:val="20"/>
          <w:szCs w:val="20"/>
        </w:rPr>
        <w:t xml:space="preserve">The following 2 use-cases exemplify the potential nexus of impact and feasibility from </w:t>
      </w:r>
      <w:r w:rsidR="00676E4C" w:rsidRPr="00135CA9">
        <w:rPr>
          <w:sz w:val="20"/>
          <w:szCs w:val="20"/>
        </w:rPr>
        <w:t>the relatively</w:t>
      </w:r>
      <w:r w:rsidRPr="00135CA9">
        <w:rPr>
          <w:sz w:val="20"/>
          <w:szCs w:val="20"/>
        </w:rPr>
        <w:t xml:space="preserve"> simple to the far end of the complexity scale.</w:t>
      </w:r>
    </w:p>
    <w:p w14:paraId="0000000B" w14:textId="77777777" w:rsidR="00127B62" w:rsidRDefault="00127B62" w:rsidP="001C1D2E">
      <w:pPr>
        <w:spacing w:after="0" w:line="240" w:lineRule="auto"/>
        <w:rPr>
          <w:sz w:val="20"/>
          <w:szCs w:val="20"/>
        </w:rPr>
      </w:pPr>
    </w:p>
    <w:p w14:paraId="0000000C" w14:textId="77777777" w:rsidR="00127B62" w:rsidRPr="00135CA9" w:rsidRDefault="00507BCC" w:rsidP="001C1D2E">
      <w:pPr>
        <w:pStyle w:val="ListParagraph"/>
        <w:spacing w:after="0" w:line="240" w:lineRule="auto"/>
        <w:ind w:left="0"/>
        <w:rPr>
          <w:sz w:val="20"/>
          <w:szCs w:val="20"/>
        </w:rPr>
      </w:pPr>
      <w:r w:rsidRPr="00135CA9">
        <w:rPr>
          <w:sz w:val="20"/>
          <w:szCs w:val="20"/>
        </w:rPr>
        <w:t>Use Case 1: Community-led marine conservation groups</w:t>
      </w:r>
    </w:p>
    <w:p w14:paraId="0000000D" w14:textId="2203B2E7" w:rsidR="00127B62" w:rsidRPr="00135CA9" w:rsidRDefault="00507BCC" w:rsidP="001C1D2E">
      <w:pPr>
        <w:pStyle w:val="ListParagraph"/>
        <w:spacing w:after="0" w:line="240" w:lineRule="auto"/>
        <w:ind w:left="0"/>
        <w:rPr>
          <w:sz w:val="20"/>
          <w:szCs w:val="20"/>
        </w:rPr>
      </w:pPr>
      <w:r w:rsidRPr="00135CA9">
        <w:rPr>
          <w:sz w:val="20"/>
          <w:szCs w:val="20"/>
        </w:rPr>
        <w:t>Community led conservation groups are actively managing the fisheries the</w:t>
      </w:r>
      <w:r w:rsidR="00676E4C" w:rsidRPr="00135CA9">
        <w:rPr>
          <w:sz w:val="20"/>
          <w:szCs w:val="20"/>
        </w:rPr>
        <w:t xml:space="preserve">ir </w:t>
      </w:r>
      <w:proofErr w:type="spellStart"/>
      <w:r w:rsidR="00676E4C" w:rsidRPr="00135CA9">
        <w:rPr>
          <w:sz w:val="20"/>
          <w:szCs w:val="20"/>
        </w:rPr>
        <w:t>communites</w:t>
      </w:r>
      <w:proofErr w:type="spellEnd"/>
      <w:r w:rsidRPr="00135CA9">
        <w:rPr>
          <w:sz w:val="20"/>
          <w:szCs w:val="20"/>
        </w:rPr>
        <w:t xml:space="preserve"> depend on. </w:t>
      </w:r>
      <w:r w:rsidR="00676E4C" w:rsidRPr="00135CA9">
        <w:rPr>
          <w:sz w:val="20"/>
          <w:szCs w:val="20"/>
        </w:rPr>
        <w:t>A single</w:t>
      </w:r>
      <w:r w:rsidRPr="00135CA9">
        <w:rPr>
          <w:sz w:val="20"/>
          <w:szCs w:val="20"/>
        </w:rPr>
        <w:t xml:space="preserve"> CPF </w:t>
      </w:r>
      <w:r w:rsidR="00676E4C" w:rsidRPr="00135CA9">
        <w:rPr>
          <w:sz w:val="20"/>
          <w:szCs w:val="20"/>
        </w:rPr>
        <w:t xml:space="preserve">with its broad suite of sensors </w:t>
      </w:r>
      <w:r w:rsidRPr="00135CA9">
        <w:rPr>
          <w:sz w:val="20"/>
          <w:szCs w:val="20"/>
        </w:rPr>
        <w:t xml:space="preserve">can provide enough data to help understand why some years provide a better fish take than others </w:t>
      </w:r>
      <w:r w:rsidRPr="00135CA9">
        <w:rPr>
          <w:sz w:val="20"/>
          <w:szCs w:val="20"/>
          <w:vertAlign w:val="superscript"/>
        </w:rPr>
        <w:t>need ref</w:t>
      </w:r>
      <w:r w:rsidRPr="00135CA9">
        <w:rPr>
          <w:sz w:val="20"/>
          <w:szCs w:val="20"/>
        </w:rPr>
        <w:t xml:space="preserve"> and help develop sustainable, science-based fishery management policies. Example of these kind of groups include the Alaska Marine Conservation </w:t>
      </w:r>
      <w:proofErr w:type="spellStart"/>
      <w:r w:rsidRPr="00135CA9">
        <w:rPr>
          <w:sz w:val="20"/>
          <w:szCs w:val="20"/>
        </w:rPr>
        <w:t>Council</w:t>
      </w:r>
      <w:r w:rsidRPr="00135CA9">
        <w:rPr>
          <w:sz w:val="20"/>
          <w:szCs w:val="20"/>
          <w:vertAlign w:val="superscript"/>
        </w:rPr>
        <w:t>ref</w:t>
      </w:r>
      <w:proofErr w:type="spellEnd"/>
      <w:r w:rsidRPr="00135CA9">
        <w:rPr>
          <w:sz w:val="20"/>
          <w:szCs w:val="20"/>
        </w:rPr>
        <w:t xml:space="preserve">, </w:t>
      </w:r>
      <w:proofErr w:type="spellStart"/>
      <w:r w:rsidRPr="00135CA9">
        <w:rPr>
          <w:sz w:val="20"/>
          <w:szCs w:val="20"/>
        </w:rPr>
        <w:t>JAPESDA</w:t>
      </w:r>
      <w:r w:rsidRPr="00135CA9">
        <w:rPr>
          <w:sz w:val="20"/>
          <w:szCs w:val="20"/>
          <w:vertAlign w:val="superscript"/>
        </w:rPr>
        <w:t>ref</w:t>
      </w:r>
      <w:proofErr w:type="spellEnd"/>
      <w:r w:rsidRPr="00135CA9">
        <w:rPr>
          <w:sz w:val="20"/>
          <w:szCs w:val="20"/>
        </w:rPr>
        <w:t xml:space="preserve"> in Indonesia, the </w:t>
      </w:r>
      <w:proofErr w:type="spellStart"/>
      <w:r w:rsidRPr="00135CA9">
        <w:rPr>
          <w:sz w:val="20"/>
          <w:szCs w:val="20"/>
        </w:rPr>
        <w:t>Dakshin</w:t>
      </w:r>
      <w:r w:rsidRPr="00135CA9">
        <w:rPr>
          <w:sz w:val="20"/>
          <w:szCs w:val="20"/>
          <w:vertAlign w:val="superscript"/>
        </w:rPr>
        <w:t>ref</w:t>
      </w:r>
      <w:proofErr w:type="spellEnd"/>
      <w:r w:rsidRPr="00135CA9">
        <w:rPr>
          <w:sz w:val="20"/>
          <w:szCs w:val="20"/>
        </w:rPr>
        <w:t xml:space="preserve"> Foundation in India and COMRED in </w:t>
      </w:r>
      <w:proofErr w:type="spellStart"/>
      <w:proofErr w:type="gramStart"/>
      <w:r w:rsidRPr="00135CA9">
        <w:rPr>
          <w:sz w:val="20"/>
          <w:szCs w:val="20"/>
        </w:rPr>
        <w:t>Kenya</w:t>
      </w:r>
      <w:r w:rsidRPr="00135CA9">
        <w:rPr>
          <w:sz w:val="20"/>
          <w:szCs w:val="20"/>
          <w:vertAlign w:val="superscript"/>
        </w:rPr>
        <w:t>ref</w:t>
      </w:r>
      <w:proofErr w:type="spellEnd"/>
      <w:r w:rsidRPr="00135CA9">
        <w:rPr>
          <w:sz w:val="20"/>
          <w:szCs w:val="20"/>
        </w:rPr>
        <w:t>.(</w:t>
      </w:r>
      <w:proofErr w:type="gramEnd"/>
      <w:r w:rsidRPr="00135CA9">
        <w:rPr>
          <w:sz w:val="20"/>
          <w:szCs w:val="20"/>
        </w:rPr>
        <w:t>need another US group)</w:t>
      </w:r>
    </w:p>
    <w:p w14:paraId="0000000E" w14:textId="77777777" w:rsidR="00127B62" w:rsidRDefault="00127B62" w:rsidP="001C1D2E">
      <w:pPr>
        <w:spacing w:after="0" w:line="240" w:lineRule="auto"/>
        <w:rPr>
          <w:sz w:val="20"/>
          <w:szCs w:val="20"/>
        </w:rPr>
      </w:pPr>
    </w:p>
    <w:p w14:paraId="0000000F" w14:textId="77777777" w:rsidR="00127B62" w:rsidRPr="00135CA9" w:rsidRDefault="00507BCC" w:rsidP="001C1D2E">
      <w:pPr>
        <w:pStyle w:val="ListParagraph"/>
        <w:spacing w:after="0" w:line="240" w:lineRule="auto"/>
        <w:ind w:left="0"/>
        <w:rPr>
          <w:sz w:val="20"/>
          <w:szCs w:val="20"/>
        </w:rPr>
      </w:pPr>
      <w:r w:rsidRPr="00135CA9">
        <w:rPr>
          <w:sz w:val="20"/>
          <w:szCs w:val="20"/>
        </w:rPr>
        <w:t>Use Case 2: NOAA Future Seas</w:t>
      </w:r>
    </w:p>
    <w:p w14:paraId="00000010" w14:textId="7BB80574" w:rsidR="00127B62" w:rsidRPr="00135CA9" w:rsidRDefault="00507BCC" w:rsidP="001C1D2E">
      <w:pPr>
        <w:pStyle w:val="ListParagraph"/>
        <w:spacing w:after="0" w:line="240" w:lineRule="auto"/>
        <w:ind w:left="0"/>
        <w:rPr>
          <w:sz w:val="20"/>
          <w:szCs w:val="20"/>
        </w:rPr>
      </w:pPr>
      <w:r w:rsidRPr="00135CA9">
        <w:rPr>
          <w:sz w:val="20"/>
          <w:szCs w:val="20"/>
        </w:rPr>
        <w:t xml:space="preserve">This </w:t>
      </w:r>
      <w:proofErr w:type="spellStart"/>
      <w:r w:rsidRPr="00135CA9">
        <w:rPr>
          <w:sz w:val="20"/>
          <w:szCs w:val="20"/>
        </w:rPr>
        <w:t>project</w:t>
      </w:r>
      <w:r w:rsidRPr="00135CA9">
        <w:rPr>
          <w:sz w:val="20"/>
          <w:szCs w:val="20"/>
          <w:vertAlign w:val="superscript"/>
        </w:rPr>
        <w:t>ref</w:t>
      </w:r>
      <w:proofErr w:type="spellEnd"/>
      <w:r w:rsidRPr="00135CA9">
        <w:rPr>
          <w:sz w:val="20"/>
          <w:szCs w:val="20"/>
        </w:rPr>
        <w:t xml:space="preserve"> is “compiling the most recent science through models of the California Current Ecosystem to help coastal communities anticipate and adjust to climate-driven changes and develop strategies to manage impacts”.  These models require</w:t>
      </w:r>
      <w:r w:rsidR="008F27BC">
        <w:rPr>
          <w:sz w:val="20"/>
          <w:szCs w:val="20"/>
        </w:rPr>
        <w:t xml:space="preserve"> </w:t>
      </w:r>
      <w:r w:rsidRPr="00135CA9">
        <w:rPr>
          <w:sz w:val="20"/>
          <w:szCs w:val="20"/>
        </w:rPr>
        <w:t xml:space="preserve">(can benefit from?) data for calibration and verification in order to improve accuracy and reach and maintain an operational status.  A COOS with 10s to 100s of floats can provide the necessary, sustainable, </w:t>
      </w:r>
      <w:r w:rsidR="008F27BC" w:rsidRPr="00135CA9">
        <w:rPr>
          <w:sz w:val="20"/>
          <w:szCs w:val="20"/>
        </w:rPr>
        <w:t>quality-controlled</w:t>
      </w:r>
      <w:r w:rsidRPr="00135CA9">
        <w:rPr>
          <w:sz w:val="20"/>
          <w:szCs w:val="20"/>
        </w:rPr>
        <w:t xml:space="preserve"> data product stream ingested directly into these models.  </w:t>
      </w:r>
    </w:p>
    <w:p w14:paraId="00000011" w14:textId="77777777" w:rsidR="00127B62" w:rsidRDefault="00127B62" w:rsidP="001C1D2E">
      <w:pPr>
        <w:spacing w:after="0" w:line="240" w:lineRule="auto"/>
        <w:rPr>
          <w:sz w:val="20"/>
          <w:szCs w:val="20"/>
        </w:rPr>
      </w:pPr>
    </w:p>
    <w:p w14:paraId="00000012" w14:textId="77777777" w:rsidR="00127B62" w:rsidRPr="00135CA9" w:rsidRDefault="00507BCC" w:rsidP="001C1D2E">
      <w:pPr>
        <w:pStyle w:val="ListParagraph"/>
        <w:spacing w:after="0" w:line="240" w:lineRule="auto"/>
        <w:ind w:left="0"/>
        <w:rPr>
          <w:sz w:val="20"/>
          <w:szCs w:val="20"/>
        </w:rPr>
      </w:pPr>
      <w:r w:rsidRPr="00135CA9">
        <w:rPr>
          <w:sz w:val="20"/>
          <w:szCs w:val="20"/>
        </w:rPr>
        <w:t xml:space="preserve">Keywords: GEO; Open Source; Observing System; Ocean Biogeochemistry; Climate Change; Ocean Health; </w:t>
      </w:r>
    </w:p>
    <w:p w14:paraId="00000013" w14:textId="77777777" w:rsidR="00127B62" w:rsidRDefault="00127B62">
      <w:pPr>
        <w:spacing w:after="0" w:line="240" w:lineRule="auto"/>
        <w:rPr>
          <w:sz w:val="20"/>
          <w:szCs w:val="20"/>
        </w:rPr>
      </w:pPr>
    </w:p>
    <w:p w14:paraId="00000014" w14:textId="77777777" w:rsidR="00127B62" w:rsidRPr="00135CA9" w:rsidRDefault="00507BCC" w:rsidP="00135CA9">
      <w:pPr>
        <w:pStyle w:val="ListParagraph"/>
        <w:numPr>
          <w:ilvl w:val="0"/>
          <w:numId w:val="4"/>
        </w:numPr>
        <w:spacing w:after="0" w:line="240" w:lineRule="auto"/>
        <w:rPr>
          <w:b/>
          <w:sz w:val="20"/>
          <w:szCs w:val="20"/>
        </w:rPr>
      </w:pPr>
      <w:r w:rsidRPr="00135CA9">
        <w:rPr>
          <w:b/>
          <w:sz w:val="20"/>
          <w:szCs w:val="20"/>
        </w:rPr>
        <w:t>Context of the OSE</w:t>
      </w:r>
    </w:p>
    <w:p w14:paraId="00000015" w14:textId="77777777" w:rsidR="00127B62" w:rsidRPr="00135CA9" w:rsidRDefault="00507BCC" w:rsidP="00135CA9">
      <w:pPr>
        <w:pStyle w:val="ListParagraph"/>
        <w:numPr>
          <w:ilvl w:val="1"/>
          <w:numId w:val="4"/>
        </w:numPr>
        <w:spacing w:line="240" w:lineRule="auto"/>
        <w:rPr>
          <w:i/>
          <w:sz w:val="20"/>
          <w:szCs w:val="20"/>
        </w:rPr>
      </w:pPr>
      <w:r w:rsidRPr="00135CA9">
        <w:rPr>
          <w:i/>
          <w:sz w:val="20"/>
          <w:szCs w:val="20"/>
        </w:rPr>
        <w:lastRenderedPageBreak/>
        <w:t>Guiding principles and long-term vision</w:t>
      </w:r>
    </w:p>
    <w:p w14:paraId="00000016" w14:textId="77777777" w:rsidR="00127B62" w:rsidRPr="00135CA9" w:rsidRDefault="00507BCC" w:rsidP="001C1D2E">
      <w:pPr>
        <w:pStyle w:val="ListParagraph"/>
        <w:spacing w:line="240" w:lineRule="auto"/>
        <w:ind w:left="0"/>
        <w:rPr>
          <w:sz w:val="20"/>
          <w:szCs w:val="20"/>
        </w:rPr>
      </w:pPr>
      <w:r w:rsidRPr="00135CA9">
        <w:rPr>
          <w:sz w:val="20"/>
          <w:szCs w:val="20"/>
        </w:rPr>
        <w:t>Principle 1: The OSE shall provide resources to a wide spectrum of external users and groups with a desire to assess the health of an aquatic ecosystem in order for them to develop and operate an observing system that is fit for their purposes. </w:t>
      </w:r>
    </w:p>
    <w:p w14:paraId="307832D5" w14:textId="77777777" w:rsidR="00135CA9" w:rsidRDefault="00135CA9" w:rsidP="001C1D2E">
      <w:pPr>
        <w:pStyle w:val="ListParagraph"/>
        <w:spacing w:line="240" w:lineRule="auto"/>
        <w:ind w:left="0"/>
        <w:rPr>
          <w:sz w:val="20"/>
          <w:szCs w:val="20"/>
        </w:rPr>
      </w:pPr>
    </w:p>
    <w:p w14:paraId="00000017" w14:textId="6DFA255C" w:rsidR="00127B62" w:rsidRPr="00135CA9" w:rsidRDefault="00507BCC" w:rsidP="001C1D2E">
      <w:pPr>
        <w:pStyle w:val="ListParagraph"/>
        <w:spacing w:line="240" w:lineRule="auto"/>
        <w:ind w:left="0"/>
        <w:rPr>
          <w:sz w:val="20"/>
          <w:szCs w:val="20"/>
        </w:rPr>
      </w:pPr>
      <w:r w:rsidRPr="00135CA9">
        <w:rPr>
          <w:sz w:val="20"/>
          <w:szCs w:val="20"/>
        </w:rPr>
        <w:t>The resources we are envisioning include the following. A) OSE community members who can help new users plan and implement a coastal ocean observing system that is fit for the user’s purpose. B) Provide an on-line repository with all the documentation required to build the CPFs and a list of qualified vendors who can provide parts, subsystems and/or fully functional CPFs. C) Documentation, tools and software to support building, testing, deploying and operating the user’s observatory. D) The tools for a scientific workflow that processes raw data and generates and makes publicly available quality controlled, defensible data from the raw data products scaled to the user’s needs.</w:t>
      </w:r>
    </w:p>
    <w:p w14:paraId="384A8FBE" w14:textId="77777777" w:rsidR="00135CA9" w:rsidRDefault="00135CA9" w:rsidP="001C1D2E">
      <w:pPr>
        <w:pStyle w:val="ListParagraph"/>
        <w:spacing w:line="240" w:lineRule="auto"/>
        <w:ind w:left="0"/>
        <w:rPr>
          <w:sz w:val="20"/>
          <w:szCs w:val="20"/>
        </w:rPr>
      </w:pPr>
    </w:p>
    <w:p w14:paraId="00000018" w14:textId="0E42EB53" w:rsidR="00127B62" w:rsidRPr="00135CA9" w:rsidRDefault="00507BCC" w:rsidP="001C1D2E">
      <w:pPr>
        <w:pStyle w:val="ListParagraph"/>
        <w:spacing w:line="240" w:lineRule="auto"/>
        <w:ind w:left="0"/>
        <w:rPr>
          <w:sz w:val="20"/>
          <w:szCs w:val="20"/>
        </w:rPr>
      </w:pPr>
      <w:r w:rsidRPr="00135CA9">
        <w:rPr>
          <w:sz w:val="20"/>
          <w:szCs w:val="20"/>
        </w:rPr>
        <w:t>The spectrum of users includes small and large NGO or conservation groups, academic and non-profit research groups, government agencies with a researcher operation mandate and educational institutions.</w:t>
      </w:r>
    </w:p>
    <w:p w14:paraId="1DBBA882" w14:textId="77777777" w:rsidR="00135CA9" w:rsidRDefault="00135CA9" w:rsidP="001C1D2E">
      <w:pPr>
        <w:pStyle w:val="ListParagraph"/>
        <w:spacing w:line="240" w:lineRule="auto"/>
        <w:ind w:left="0"/>
        <w:rPr>
          <w:sz w:val="20"/>
          <w:szCs w:val="20"/>
        </w:rPr>
      </w:pPr>
    </w:p>
    <w:p w14:paraId="00000019" w14:textId="7FE8B6D9" w:rsidR="00127B62" w:rsidRPr="00135CA9" w:rsidRDefault="00507BCC" w:rsidP="001C1D2E">
      <w:pPr>
        <w:pStyle w:val="ListParagraph"/>
        <w:spacing w:line="240" w:lineRule="auto"/>
        <w:ind w:left="0"/>
        <w:rPr>
          <w:sz w:val="20"/>
          <w:szCs w:val="20"/>
        </w:rPr>
      </w:pPr>
      <w:r w:rsidRPr="00135CA9">
        <w:rPr>
          <w:sz w:val="20"/>
          <w:szCs w:val="20"/>
        </w:rPr>
        <w:t>Principle 2: The OSE shall enable a development community that improves the functionality, capability and reliability of the (OHA) observing hardware, software, data processing and data products. </w:t>
      </w:r>
    </w:p>
    <w:p w14:paraId="550A2371" w14:textId="77777777" w:rsidR="00135CA9" w:rsidRDefault="00135CA9" w:rsidP="001C1D2E">
      <w:pPr>
        <w:pStyle w:val="ListParagraph"/>
        <w:spacing w:line="240" w:lineRule="auto"/>
        <w:ind w:left="0"/>
        <w:rPr>
          <w:sz w:val="20"/>
          <w:szCs w:val="20"/>
        </w:rPr>
      </w:pPr>
    </w:p>
    <w:p w14:paraId="0000001A" w14:textId="30DE23A4" w:rsidR="00127B62" w:rsidRPr="00135CA9" w:rsidRDefault="00507BCC" w:rsidP="001C1D2E">
      <w:pPr>
        <w:pStyle w:val="ListParagraph"/>
        <w:spacing w:line="240" w:lineRule="auto"/>
        <w:ind w:left="0"/>
        <w:rPr>
          <w:sz w:val="20"/>
          <w:szCs w:val="20"/>
        </w:rPr>
      </w:pPr>
      <w:r w:rsidRPr="00135CA9">
        <w:rPr>
          <w:sz w:val="20"/>
          <w:szCs w:val="20"/>
        </w:rPr>
        <w:t>We understand this development work will have to be done with non-POSE funds.  However, we believe the OSE should provide at least a range of improvements the external community would like to see, a venue for externally funded developers to develop design requirements by working with potential users, documentation and technical resources to enable development and a support forum for questions and answers.</w:t>
      </w:r>
    </w:p>
    <w:p w14:paraId="40EFC34F" w14:textId="77777777" w:rsidR="00135CA9" w:rsidRDefault="00135CA9" w:rsidP="001C1D2E">
      <w:pPr>
        <w:pStyle w:val="ListParagraph"/>
        <w:spacing w:line="240" w:lineRule="auto"/>
        <w:ind w:left="0"/>
        <w:rPr>
          <w:sz w:val="20"/>
          <w:szCs w:val="20"/>
        </w:rPr>
      </w:pPr>
    </w:p>
    <w:p w14:paraId="0000001B" w14:textId="00FE903A" w:rsidR="00127B62" w:rsidRPr="00135CA9" w:rsidRDefault="00507BCC" w:rsidP="001C1D2E">
      <w:pPr>
        <w:pStyle w:val="ListParagraph"/>
        <w:spacing w:line="240" w:lineRule="auto"/>
        <w:ind w:left="0"/>
        <w:rPr>
          <w:sz w:val="20"/>
          <w:szCs w:val="20"/>
        </w:rPr>
      </w:pPr>
      <w:r w:rsidRPr="00135CA9">
        <w:rPr>
          <w:sz w:val="20"/>
          <w:szCs w:val="20"/>
        </w:rPr>
        <w:t>Principle 3: The raw data and data products generated by observing systems developed through this OSE shall be publicly available on the COOS OSE data portal in a useful and timely manner.  In additions, improvements to the CPF hardware and software shall be publicly available in the COOS OSE engineering repository.</w:t>
      </w:r>
    </w:p>
    <w:p w14:paraId="16F832B9" w14:textId="77777777" w:rsidR="00135CA9" w:rsidRDefault="00135CA9" w:rsidP="00135CA9">
      <w:pPr>
        <w:pStyle w:val="ListParagraph"/>
        <w:spacing w:line="240" w:lineRule="auto"/>
        <w:ind w:left="360"/>
        <w:rPr>
          <w:i/>
          <w:sz w:val="20"/>
          <w:szCs w:val="20"/>
        </w:rPr>
      </w:pPr>
    </w:p>
    <w:p w14:paraId="0000001C" w14:textId="4924770E" w:rsidR="00127B62" w:rsidRPr="00135CA9" w:rsidRDefault="00507BCC" w:rsidP="00135CA9">
      <w:pPr>
        <w:pStyle w:val="ListParagraph"/>
        <w:numPr>
          <w:ilvl w:val="1"/>
          <w:numId w:val="4"/>
        </w:numPr>
        <w:spacing w:line="240" w:lineRule="auto"/>
        <w:rPr>
          <w:i/>
          <w:sz w:val="20"/>
          <w:szCs w:val="20"/>
        </w:rPr>
      </w:pPr>
      <w:r w:rsidRPr="00135CA9">
        <w:rPr>
          <w:i/>
          <w:sz w:val="20"/>
          <w:szCs w:val="20"/>
        </w:rPr>
        <w:t>Specific societal and national needs</w:t>
      </w:r>
    </w:p>
    <w:p w14:paraId="0000001D" w14:textId="77777777" w:rsidR="00127B62" w:rsidRPr="00135CA9" w:rsidRDefault="00507BCC" w:rsidP="001C1D2E">
      <w:pPr>
        <w:pStyle w:val="ListParagraph"/>
        <w:spacing w:line="240" w:lineRule="auto"/>
        <w:ind w:left="0"/>
        <w:rPr>
          <w:i/>
          <w:sz w:val="20"/>
          <w:szCs w:val="20"/>
        </w:rPr>
      </w:pPr>
      <w:r w:rsidRPr="00135CA9">
        <w:rPr>
          <w:sz w:val="20"/>
          <w:szCs w:val="20"/>
        </w:rPr>
        <w:t xml:space="preserve">NSF 10 big ideas, NOAA and other operational groups, oceanographic research groups, education (e.g. college engineering and science classes, </w:t>
      </w:r>
      <w:proofErr w:type="gramStart"/>
      <w:r w:rsidRPr="00135CA9">
        <w:rPr>
          <w:sz w:val="20"/>
          <w:szCs w:val="20"/>
        </w:rPr>
        <w:t>masters</w:t>
      </w:r>
      <w:proofErr w:type="gramEnd"/>
      <w:r w:rsidRPr="00135CA9">
        <w:rPr>
          <w:sz w:val="20"/>
          <w:szCs w:val="20"/>
        </w:rPr>
        <w:t xml:space="preserve"> theses, …)</w:t>
      </w:r>
    </w:p>
    <w:p w14:paraId="0F060DF6" w14:textId="77777777" w:rsidR="00135CA9" w:rsidRDefault="00135CA9" w:rsidP="00135CA9">
      <w:pPr>
        <w:pStyle w:val="ListParagraph"/>
        <w:spacing w:line="240" w:lineRule="auto"/>
        <w:ind w:left="360"/>
        <w:rPr>
          <w:i/>
          <w:sz w:val="20"/>
          <w:szCs w:val="20"/>
        </w:rPr>
      </w:pPr>
    </w:p>
    <w:p w14:paraId="0000001E" w14:textId="4ABEA67E" w:rsidR="00127B62" w:rsidRPr="00135CA9" w:rsidRDefault="00507BCC" w:rsidP="00135CA9">
      <w:pPr>
        <w:pStyle w:val="ListParagraph"/>
        <w:numPr>
          <w:ilvl w:val="1"/>
          <w:numId w:val="4"/>
        </w:numPr>
        <w:spacing w:line="240" w:lineRule="auto"/>
        <w:rPr>
          <w:i/>
          <w:sz w:val="20"/>
          <w:szCs w:val="20"/>
        </w:rPr>
      </w:pPr>
      <w:r w:rsidRPr="00135CA9">
        <w:rPr>
          <w:i/>
          <w:sz w:val="20"/>
          <w:szCs w:val="20"/>
        </w:rPr>
        <w:t>Broader impact of the OSE</w:t>
      </w:r>
    </w:p>
    <w:p w14:paraId="0000001F" w14:textId="79BDB405" w:rsidR="00127B62" w:rsidRPr="00135CA9" w:rsidRDefault="00507BCC" w:rsidP="001C1D2E">
      <w:pPr>
        <w:pStyle w:val="ListParagraph"/>
        <w:spacing w:after="0" w:line="240" w:lineRule="auto"/>
        <w:ind w:left="0"/>
        <w:rPr>
          <w:sz w:val="20"/>
          <w:szCs w:val="20"/>
        </w:rPr>
      </w:pPr>
      <w:r w:rsidRPr="00135CA9">
        <w:rPr>
          <w:sz w:val="20"/>
          <w:szCs w:val="20"/>
        </w:rPr>
        <w:t xml:space="preserve">The impact of the proposed COOS OSE can be described with 2 metrics 1) how much of society is being impacted by the proposed work and 2) how dramatic is the impact i.e., is it “merely” a way to implement or even improve on current best practices or a transformative leap in capability.  Use case 1 described above, a COOS operated by a local conservation group like JAPESDA may only affect a small, very local segment of society.  However, the impact may be dramatic if it identifies sources of pollution, like fertilizer runoff from farms, that can be managed to improve a fishery critical to the local communities.  Use case 2 described above could result in more accurate fishery models becoming operational sooner.  This could be considered implementing existing modeling best practices but the result may be better, </w:t>
      </w:r>
      <w:r w:rsidR="00135CA9" w:rsidRPr="00135CA9">
        <w:rPr>
          <w:sz w:val="20"/>
          <w:szCs w:val="20"/>
        </w:rPr>
        <w:t>science-based</w:t>
      </w:r>
      <w:r w:rsidRPr="00135CA9">
        <w:rPr>
          <w:sz w:val="20"/>
          <w:szCs w:val="20"/>
        </w:rPr>
        <w:t xml:space="preserve"> fishery management policies that can affect a significant fraction of a nation. </w:t>
      </w:r>
    </w:p>
    <w:p w14:paraId="00000020" w14:textId="77777777" w:rsidR="00127B62" w:rsidRDefault="00127B62" w:rsidP="001C1D2E">
      <w:pPr>
        <w:spacing w:after="0" w:line="240" w:lineRule="auto"/>
        <w:rPr>
          <w:sz w:val="20"/>
          <w:szCs w:val="20"/>
        </w:rPr>
      </w:pPr>
    </w:p>
    <w:p w14:paraId="00000021" w14:textId="77777777" w:rsidR="00127B62" w:rsidRPr="00135CA9" w:rsidRDefault="00507BCC" w:rsidP="001C1D2E">
      <w:pPr>
        <w:pStyle w:val="ListParagraph"/>
        <w:spacing w:after="0" w:line="240" w:lineRule="auto"/>
        <w:ind w:left="0"/>
        <w:rPr>
          <w:sz w:val="20"/>
          <w:szCs w:val="20"/>
        </w:rPr>
      </w:pPr>
      <w:r w:rsidRPr="00135CA9">
        <w:rPr>
          <w:sz w:val="20"/>
          <w:szCs w:val="20"/>
        </w:rPr>
        <w:t xml:space="preserve">We have discussed a particularly interesting and somewhat unique use case.  The CPF can be built by the vast majority of colleges with an engineering department and serve as a </w:t>
      </w:r>
      <w:proofErr w:type="gramStart"/>
      <w:r w:rsidRPr="00135CA9">
        <w:rPr>
          <w:sz w:val="20"/>
          <w:szCs w:val="20"/>
        </w:rPr>
        <w:t>real world</w:t>
      </w:r>
      <w:proofErr w:type="gramEnd"/>
      <w:r w:rsidRPr="00135CA9">
        <w:rPr>
          <w:sz w:val="20"/>
          <w:szCs w:val="20"/>
        </w:rPr>
        <w:t xml:space="preserve"> example of topics taught in standard engineering curriculum e.g. control systems, robotics, embedded hardware and software design and development, mechanical design, materials and signal processing.  A logical next step is to team engineering students with science students collaborating on a range of project including senior engineering design projects, science or engineering field programs, Masters theses and potentially PhD dissertations.  For example, a science student may propose a thesis project that includes a monitoring program in a local water body using a CPF.  That same student working with an engineering student could add a new sensor to the CPF suite in order to address their specific science question.  The science student would concentrate on the science, the engineering student would concentrate on the engineering, they could collaborate on the deployment, operation and data processing.  </w:t>
      </w:r>
      <w:r w:rsidRPr="00135CA9">
        <w:rPr>
          <w:sz w:val="20"/>
          <w:szCs w:val="20"/>
        </w:rPr>
        <w:lastRenderedPageBreak/>
        <w:t>Potentially most impactful is this collaboration would start the process of early career scientists and engineers learning to work together effectively.</w:t>
      </w:r>
    </w:p>
    <w:p w14:paraId="00000022" w14:textId="77777777" w:rsidR="00127B62" w:rsidRDefault="00127B62" w:rsidP="001C1D2E">
      <w:pPr>
        <w:spacing w:after="0" w:line="240" w:lineRule="auto"/>
        <w:rPr>
          <w:sz w:val="20"/>
          <w:szCs w:val="20"/>
        </w:rPr>
      </w:pPr>
    </w:p>
    <w:p w14:paraId="00000023" w14:textId="77777777" w:rsidR="00127B62" w:rsidRPr="00135CA9" w:rsidRDefault="00507BCC" w:rsidP="001C1D2E">
      <w:pPr>
        <w:pStyle w:val="ListParagraph"/>
        <w:spacing w:after="0" w:line="240" w:lineRule="auto"/>
        <w:ind w:left="0"/>
        <w:rPr>
          <w:sz w:val="20"/>
          <w:szCs w:val="20"/>
        </w:rPr>
      </w:pPr>
      <w:r w:rsidRPr="00135CA9">
        <w:rPr>
          <w:sz w:val="20"/>
          <w:szCs w:val="20"/>
        </w:rPr>
        <w:t>It is worth noting that while MBARI research activities to date have focused on the coastal ocean, nothing prevents the CPF from being used anywhere in the upper 350 meters of the world’s ocean, in a fresh water lake or brackish slough.</w:t>
      </w:r>
    </w:p>
    <w:p w14:paraId="00000024" w14:textId="7D408ABE" w:rsidR="00127B62" w:rsidRDefault="00127B62" w:rsidP="00135CA9">
      <w:pPr>
        <w:spacing w:after="0" w:line="240" w:lineRule="auto"/>
        <w:ind w:firstLine="45"/>
        <w:rPr>
          <w:sz w:val="20"/>
          <w:szCs w:val="20"/>
        </w:rPr>
      </w:pPr>
    </w:p>
    <w:p w14:paraId="00000025" w14:textId="77777777" w:rsidR="00127B62" w:rsidRPr="00135CA9" w:rsidRDefault="00507BCC" w:rsidP="009E4125">
      <w:pPr>
        <w:pStyle w:val="ListParagraph"/>
        <w:numPr>
          <w:ilvl w:val="1"/>
          <w:numId w:val="4"/>
        </w:numPr>
        <w:spacing w:line="240" w:lineRule="auto"/>
        <w:rPr>
          <w:i/>
          <w:sz w:val="20"/>
          <w:szCs w:val="20"/>
        </w:rPr>
      </w:pPr>
      <w:r w:rsidRPr="00135CA9">
        <w:rPr>
          <w:i/>
          <w:sz w:val="20"/>
          <w:szCs w:val="20"/>
        </w:rPr>
        <w:t>Existing open source products</w:t>
      </w:r>
    </w:p>
    <w:p w14:paraId="00000026" w14:textId="2B995D51" w:rsidR="00127B62" w:rsidRDefault="00507BCC" w:rsidP="009E4125">
      <w:pPr>
        <w:pStyle w:val="ListParagraph"/>
        <w:numPr>
          <w:ilvl w:val="1"/>
          <w:numId w:val="4"/>
        </w:numPr>
        <w:spacing w:line="240" w:lineRule="auto"/>
        <w:rPr>
          <w:i/>
          <w:sz w:val="20"/>
          <w:szCs w:val="20"/>
        </w:rPr>
      </w:pPr>
      <w:r w:rsidRPr="00135CA9">
        <w:rPr>
          <w:i/>
          <w:sz w:val="20"/>
          <w:szCs w:val="20"/>
        </w:rPr>
        <w:t>Current status</w:t>
      </w:r>
    </w:p>
    <w:p w14:paraId="4593F942" w14:textId="279087F0" w:rsidR="003016CA" w:rsidRDefault="00E37292" w:rsidP="00E37292">
      <w:pPr>
        <w:pStyle w:val="ListParagraph"/>
        <w:spacing w:line="240" w:lineRule="auto"/>
        <w:ind w:left="0"/>
        <w:rPr>
          <w:sz w:val="20"/>
          <w:szCs w:val="20"/>
        </w:rPr>
      </w:pPr>
      <w:r>
        <w:rPr>
          <w:sz w:val="20"/>
          <w:szCs w:val="20"/>
        </w:rPr>
        <w:t xml:space="preserve">The CPF has been developed by the MBARI Chemical Sensor </w:t>
      </w:r>
      <w:r w:rsidR="005D3151">
        <w:rPr>
          <w:sz w:val="20"/>
          <w:szCs w:val="20"/>
        </w:rPr>
        <w:t>G</w:t>
      </w:r>
      <w:r>
        <w:rPr>
          <w:sz w:val="20"/>
          <w:szCs w:val="20"/>
        </w:rPr>
        <w:t>roup</w:t>
      </w:r>
      <w:r w:rsidR="005D3151">
        <w:rPr>
          <w:sz w:val="20"/>
          <w:szCs w:val="20"/>
        </w:rPr>
        <w:t xml:space="preserve"> (CSG)</w:t>
      </w:r>
      <w:r>
        <w:rPr>
          <w:sz w:val="20"/>
          <w:szCs w:val="20"/>
        </w:rPr>
        <w:t>. We’ve gone through 2 prototype versions and currently are deploying the “first article” CPF.  We are finishing 2 more of these first articles and expect to be deploying a 3 CPF array in Monterey Bay by the end of this year.</w:t>
      </w:r>
      <w:r w:rsidR="00F215BE">
        <w:rPr>
          <w:sz w:val="20"/>
          <w:szCs w:val="20"/>
        </w:rPr>
        <w:t xml:space="preserve"> We explicitly include the data processing work flow as part of this first article.  CSG staff are involved in the on-going Argo data process</w:t>
      </w:r>
      <w:r w:rsidR="008F27BC">
        <w:rPr>
          <w:sz w:val="20"/>
          <w:szCs w:val="20"/>
        </w:rPr>
        <w:t xml:space="preserve">ing </w:t>
      </w:r>
      <w:r w:rsidR="00DF04D1">
        <w:rPr>
          <w:sz w:val="20"/>
          <w:szCs w:val="20"/>
        </w:rPr>
        <w:t xml:space="preserve">and quality-control </w:t>
      </w:r>
      <w:r w:rsidR="008F27BC">
        <w:rPr>
          <w:sz w:val="20"/>
          <w:szCs w:val="20"/>
        </w:rPr>
        <w:t>work</w:t>
      </w:r>
      <w:r w:rsidR="00DF04D1">
        <w:rPr>
          <w:sz w:val="20"/>
          <w:szCs w:val="20"/>
        </w:rPr>
        <w:t>. D</w:t>
      </w:r>
      <w:r w:rsidR="008F27BC">
        <w:rPr>
          <w:sz w:val="20"/>
          <w:szCs w:val="20"/>
        </w:rPr>
        <w:t xml:space="preserve">ata from the CPF goes through a similar process and eventually ends up on our internal </w:t>
      </w:r>
      <w:proofErr w:type="spellStart"/>
      <w:r w:rsidR="008F27BC">
        <w:rPr>
          <w:sz w:val="20"/>
          <w:szCs w:val="20"/>
        </w:rPr>
        <w:t>CPFViz</w:t>
      </w:r>
      <w:proofErr w:type="spellEnd"/>
      <w:r w:rsidR="008F27BC">
        <w:rPr>
          <w:sz w:val="20"/>
          <w:szCs w:val="20"/>
        </w:rPr>
        <w:t xml:space="preserve"> data portal (figure 3a). </w:t>
      </w:r>
      <w:proofErr w:type="spellStart"/>
      <w:r w:rsidR="008F27BC">
        <w:rPr>
          <w:sz w:val="20"/>
          <w:szCs w:val="20"/>
        </w:rPr>
        <w:t>CPFViz</w:t>
      </w:r>
      <w:proofErr w:type="spellEnd"/>
      <w:r w:rsidR="008F27BC">
        <w:rPr>
          <w:sz w:val="20"/>
          <w:szCs w:val="20"/>
        </w:rPr>
        <w:t xml:space="preserve"> is essential identical to the </w:t>
      </w:r>
      <w:r w:rsidR="00DF04D1">
        <w:rPr>
          <w:sz w:val="20"/>
          <w:szCs w:val="20"/>
        </w:rPr>
        <w:t>publicly</w:t>
      </w:r>
      <w:r w:rsidR="008F27BC">
        <w:rPr>
          <w:sz w:val="20"/>
          <w:szCs w:val="20"/>
        </w:rPr>
        <w:t xml:space="preserve"> available </w:t>
      </w:r>
      <w:proofErr w:type="spellStart"/>
      <w:r w:rsidR="008F27BC">
        <w:rPr>
          <w:sz w:val="20"/>
          <w:szCs w:val="20"/>
        </w:rPr>
        <w:t>FloatViz</w:t>
      </w:r>
      <w:proofErr w:type="spellEnd"/>
      <w:r w:rsidR="008F27BC">
        <w:rPr>
          <w:sz w:val="20"/>
          <w:szCs w:val="20"/>
        </w:rPr>
        <w:t xml:space="preserve"> data portal (figure 3b). </w:t>
      </w:r>
      <w:r w:rsidR="003016CA">
        <w:rPr>
          <w:sz w:val="20"/>
          <w:szCs w:val="20"/>
        </w:rPr>
        <w:t xml:space="preserve">This first article </w:t>
      </w:r>
      <w:r w:rsidR="003016CA">
        <w:rPr>
          <w:sz w:val="20"/>
          <w:szCs w:val="20"/>
        </w:rPr>
        <w:t xml:space="preserve">meets the definition of </w:t>
      </w:r>
      <w:r w:rsidR="00AD3C9B">
        <w:rPr>
          <w:sz w:val="20"/>
          <w:szCs w:val="20"/>
        </w:rPr>
        <w:t>NASA</w:t>
      </w:r>
      <w:r w:rsidR="003016CA">
        <w:rPr>
          <w:sz w:val="20"/>
          <w:szCs w:val="20"/>
        </w:rPr>
        <w:t xml:space="preserve"> technical readiness level</w:t>
      </w:r>
      <w:r w:rsidR="003016CA">
        <w:rPr>
          <w:sz w:val="20"/>
          <w:szCs w:val="20"/>
        </w:rPr>
        <w:t xml:space="preserve"> 8</w:t>
      </w:r>
      <w:r w:rsidR="00AD3C9B" w:rsidRPr="00AD3C9B">
        <w:rPr>
          <w:sz w:val="20"/>
          <w:szCs w:val="20"/>
          <w:vertAlign w:val="superscript"/>
        </w:rPr>
        <w:t>ref</w:t>
      </w:r>
      <w:r w:rsidR="00AD3C9B">
        <w:rPr>
          <w:sz w:val="20"/>
          <w:szCs w:val="20"/>
        </w:rPr>
        <w:t xml:space="preserve"> (9 is the final NASA TRL)</w:t>
      </w:r>
      <w:r w:rsidR="003016CA">
        <w:rPr>
          <w:sz w:val="20"/>
          <w:szCs w:val="20"/>
        </w:rPr>
        <w:t xml:space="preserve"> “The final product is successfully operated in an actual mission”.  However, we would add the following proviso: “... operated in an actual mission by external users with </w:t>
      </w:r>
      <w:r w:rsidR="00C53242">
        <w:rPr>
          <w:sz w:val="20"/>
          <w:szCs w:val="20"/>
        </w:rPr>
        <w:t xml:space="preserve">some </w:t>
      </w:r>
      <w:r w:rsidR="003016CA">
        <w:rPr>
          <w:sz w:val="20"/>
          <w:szCs w:val="20"/>
        </w:rPr>
        <w:t>support from the development team”.</w:t>
      </w:r>
      <w:r w:rsidR="00AD3C9B">
        <w:rPr>
          <w:sz w:val="20"/>
          <w:szCs w:val="20"/>
        </w:rPr>
        <w:t xml:space="preserve"> </w:t>
      </w:r>
    </w:p>
    <w:p w14:paraId="782488B5" w14:textId="77777777" w:rsidR="003016CA" w:rsidRDefault="003016CA" w:rsidP="00E37292">
      <w:pPr>
        <w:pStyle w:val="ListParagraph"/>
        <w:spacing w:line="240" w:lineRule="auto"/>
        <w:ind w:left="0"/>
        <w:rPr>
          <w:sz w:val="20"/>
          <w:szCs w:val="20"/>
        </w:rPr>
      </w:pPr>
    </w:p>
    <w:p w14:paraId="359DC059" w14:textId="29612E3F" w:rsidR="00E37292" w:rsidRDefault="00E37292" w:rsidP="00E37292">
      <w:pPr>
        <w:pStyle w:val="ListParagraph"/>
        <w:spacing w:line="240" w:lineRule="auto"/>
        <w:ind w:left="0"/>
        <w:rPr>
          <w:sz w:val="20"/>
          <w:szCs w:val="20"/>
        </w:rPr>
      </w:pPr>
      <w:r>
        <w:rPr>
          <w:sz w:val="20"/>
          <w:szCs w:val="20"/>
        </w:rPr>
        <w:t xml:space="preserve">The MBARI Biological Oceanography Group has independently built 2 of the prototype version of the CPF and are deploying them as part of their </w:t>
      </w:r>
      <w:r w:rsidRPr="00E37292">
        <w:rPr>
          <w:sz w:val="20"/>
          <w:szCs w:val="20"/>
        </w:rPr>
        <w:t>Controlled, Agile, and Novel Observing Network (CANON)</w:t>
      </w:r>
      <w:r>
        <w:rPr>
          <w:sz w:val="20"/>
          <w:szCs w:val="20"/>
        </w:rPr>
        <w:t xml:space="preserve"> </w:t>
      </w:r>
      <w:proofErr w:type="spellStart"/>
      <w:proofErr w:type="gramStart"/>
      <w:r>
        <w:rPr>
          <w:sz w:val="20"/>
          <w:szCs w:val="20"/>
        </w:rPr>
        <w:t>project</w:t>
      </w:r>
      <w:r w:rsidRPr="00E37292">
        <w:rPr>
          <w:sz w:val="20"/>
          <w:szCs w:val="20"/>
          <w:vertAlign w:val="superscript"/>
        </w:rPr>
        <w:t>ref</w:t>
      </w:r>
      <w:proofErr w:type="spellEnd"/>
      <w:r>
        <w:rPr>
          <w:sz w:val="20"/>
          <w:szCs w:val="20"/>
        </w:rPr>
        <w:t xml:space="preserve"> .</w:t>
      </w:r>
      <w:proofErr w:type="gramEnd"/>
      <w:r>
        <w:rPr>
          <w:sz w:val="20"/>
          <w:szCs w:val="20"/>
        </w:rPr>
        <w:t xml:space="preserve"> </w:t>
      </w:r>
      <w:r w:rsidR="00C53242">
        <w:rPr>
          <w:sz w:val="20"/>
          <w:szCs w:val="20"/>
        </w:rPr>
        <w:t xml:space="preserve">We are pleased to report this work is proceeding with virtually no support from the development team. </w:t>
      </w:r>
      <w:r>
        <w:rPr>
          <w:sz w:val="20"/>
          <w:szCs w:val="20"/>
        </w:rPr>
        <w:t xml:space="preserve">The MBARI Ocean Biogeochemical Sensing group ran a field program using a CPF </w:t>
      </w:r>
      <w:r w:rsidR="005D3151">
        <w:rPr>
          <w:sz w:val="20"/>
          <w:szCs w:val="20"/>
        </w:rPr>
        <w:t>and expects to use the CPF in the future</w:t>
      </w:r>
      <w:bookmarkStart w:id="0" w:name="_Hlk141697856"/>
      <w:r w:rsidR="005D3151">
        <w:rPr>
          <w:sz w:val="20"/>
          <w:szCs w:val="20"/>
        </w:rPr>
        <w:t>.  T</w:t>
      </w:r>
      <w:r>
        <w:rPr>
          <w:sz w:val="20"/>
          <w:szCs w:val="20"/>
        </w:rPr>
        <w:t xml:space="preserve">he </w:t>
      </w:r>
      <w:r w:rsidR="003508AA">
        <w:rPr>
          <w:sz w:val="20"/>
          <w:szCs w:val="20"/>
        </w:rPr>
        <w:t xml:space="preserve">MBARI Carbon Flux Ecology group </w:t>
      </w:r>
      <w:r w:rsidR="005D3151">
        <w:rPr>
          <w:sz w:val="20"/>
          <w:szCs w:val="20"/>
        </w:rPr>
        <w:t xml:space="preserve">is using a CPF </w:t>
      </w:r>
      <w:r w:rsidR="00F215BE">
        <w:rPr>
          <w:sz w:val="20"/>
          <w:szCs w:val="20"/>
        </w:rPr>
        <w:t xml:space="preserve">as part of </w:t>
      </w:r>
      <w:r w:rsidR="005D3151">
        <w:rPr>
          <w:sz w:val="20"/>
          <w:szCs w:val="20"/>
        </w:rPr>
        <w:t>their</w:t>
      </w:r>
      <w:r w:rsidR="00C53242">
        <w:rPr>
          <w:sz w:val="20"/>
          <w:szCs w:val="20"/>
        </w:rPr>
        <w:t xml:space="preserve"> NSF-OT</w:t>
      </w:r>
      <w:r w:rsidR="00F215BE">
        <w:rPr>
          <w:sz w:val="20"/>
          <w:szCs w:val="20"/>
        </w:rPr>
        <w:t>IC</w:t>
      </w:r>
      <w:r w:rsidR="00C53242">
        <w:rPr>
          <w:sz w:val="20"/>
          <w:szCs w:val="20"/>
        </w:rPr>
        <w:t xml:space="preserve"> grant</w:t>
      </w:r>
      <w:r w:rsidR="00C53242" w:rsidRPr="00C53242">
        <w:rPr>
          <w:sz w:val="20"/>
          <w:szCs w:val="20"/>
        </w:rPr>
        <w:t>: An open, platform-agnostic sediment trap controller and imaging senso</w:t>
      </w:r>
      <w:r w:rsidR="00C53242">
        <w:rPr>
          <w:sz w:val="20"/>
          <w:szCs w:val="20"/>
        </w:rPr>
        <w:t>r</w:t>
      </w:r>
      <w:r w:rsidR="005D3151">
        <w:rPr>
          <w:sz w:val="20"/>
          <w:szCs w:val="20"/>
        </w:rPr>
        <w:t xml:space="preserve">.  </w:t>
      </w:r>
      <w:bookmarkEnd w:id="0"/>
      <w:r w:rsidR="005D3151">
        <w:rPr>
          <w:sz w:val="20"/>
          <w:szCs w:val="20"/>
        </w:rPr>
        <w:t xml:space="preserve">MBARI’s CPF </w:t>
      </w:r>
      <w:r w:rsidR="00C53242">
        <w:rPr>
          <w:sz w:val="20"/>
          <w:szCs w:val="20"/>
        </w:rPr>
        <w:t xml:space="preserve">project will be transitioning from primarily </w:t>
      </w:r>
      <w:r w:rsidR="005D3151">
        <w:rPr>
          <w:sz w:val="20"/>
          <w:szCs w:val="20"/>
        </w:rPr>
        <w:t xml:space="preserve">engineering development </w:t>
      </w:r>
      <w:r w:rsidR="00C53242">
        <w:rPr>
          <w:sz w:val="20"/>
          <w:szCs w:val="20"/>
        </w:rPr>
        <w:t>to science operations and technology transfer at the end of</w:t>
      </w:r>
      <w:r w:rsidR="005D3151">
        <w:rPr>
          <w:sz w:val="20"/>
          <w:szCs w:val="20"/>
        </w:rPr>
        <w:t xml:space="preserve"> 2023.  We have 3 major goals for future work: a) run our 3 CPFs in support of MBARI’s CSG research projects, b) continue improving the CPF functionality and most relevant to POSE is c) work with collaborators both inside and outside of MBARI to move the CPF technology into a wider community. </w:t>
      </w:r>
    </w:p>
    <w:p w14:paraId="5D032C29" w14:textId="77777777" w:rsidR="00C53242" w:rsidRPr="00E37292" w:rsidRDefault="00C53242" w:rsidP="00E37292">
      <w:pPr>
        <w:pStyle w:val="ListParagraph"/>
        <w:spacing w:line="240" w:lineRule="auto"/>
        <w:ind w:left="0"/>
        <w:rPr>
          <w:sz w:val="20"/>
          <w:szCs w:val="20"/>
        </w:rPr>
      </w:pPr>
    </w:p>
    <w:p w14:paraId="00000027" w14:textId="77777777" w:rsidR="00127B62" w:rsidRPr="00135CA9" w:rsidRDefault="00507BCC" w:rsidP="009E4125">
      <w:pPr>
        <w:pStyle w:val="ListParagraph"/>
        <w:numPr>
          <w:ilvl w:val="1"/>
          <w:numId w:val="4"/>
        </w:numPr>
        <w:spacing w:line="240" w:lineRule="auto"/>
        <w:rPr>
          <w:i/>
          <w:sz w:val="20"/>
          <w:szCs w:val="20"/>
        </w:rPr>
      </w:pPr>
      <w:r w:rsidRPr="00135CA9">
        <w:rPr>
          <w:i/>
          <w:sz w:val="20"/>
          <w:szCs w:val="20"/>
        </w:rPr>
        <w:t>Description of the problem</w:t>
      </w:r>
    </w:p>
    <w:p w14:paraId="00000028" w14:textId="0CEEDFCE" w:rsidR="00127B62" w:rsidRPr="00135CA9" w:rsidRDefault="00507BCC" w:rsidP="001C1D2E">
      <w:pPr>
        <w:pStyle w:val="ListParagraph"/>
        <w:spacing w:after="0" w:line="240" w:lineRule="auto"/>
        <w:ind w:left="0"/>
        <w:rPr>
          <w:sz w:val="20"/>
          <w:szCs w:val="20"/>
        </w:rPr>
      </w:pPr>
      <w:r w:rsidRPr="00135CA9">
        <w:rPr>
          <w:sz w:val="20"/>
          <w:szCs w:val="20"/>
        </w:rPr>
        <w:t xml:space="preserve">The problem is a compelling need to improve the quality, range and quantity of measurements in the world’s </w:t>
      </w:r>
      <w:proofErr w:type="spellStart"/>
      <w:r w:rsidRPr="00135CA9">
        <w:rPr>
          <w:sz w:val="20"/>
          <w:szCs w:val="20"/>
        </w:rPr>
        <w:t>oceans</w:t>
      </w:r>
      <w:r w:rsidRPr="00135CA9">
        <w:rPr>
          <w:sz w:val="20"/>
          <w:szCs w:val="20"/>
          <w:vertAlign w:val="superscript"/>
        </w:rPr>
        <w:t>ref</w:t>
      </w:r>
      <w:proofErr w:type="spellEnd"/>
      <w:r w:rsidRPr="00135CA9">
        <w:rPr>
          <w:sz w:val="20"/>
          <w:szCs w:val="20"/>
        </w:rPr>
        <w:t>.  Research vessels and fixed moorings had been the primary source of measurements in the ocean until the advent of observing systems based on profiling floats in the early 2000s</w:t>
      </w:r>
      <w:r w:rsidRPr="00135CA9">
        <w:rPr>
          <w:sz w:val="20"/>
          <w:szCs w:val="20"/>
          <w:vertAlign w:val="superscript"/>
        </w:rPr>
        <w:t>ref</w:t>
      </w:r>
      <w:r w:rsidRPr="00135CA9">
        <w:rPr>
          <w:sz w:val="20"/>
          <w:szCs w:val="20"/>
        </w:rPr>
        <w:t xml:space="preserve">.  While profiling float observing systems are providing dramatically more data at a lower cost per data point than ships and moorings, they are still only feasible at the national and international program level. For example, the operational cost for the Argos profiling float program is roughly $25M USD per year.  The logistics and cost of operating any of these current technology observing systems is prohibitive to most groups with the exception </w:t>
      </w:r>
      <w:r w:rsidR="00135CA9" w:rsidRPr="00135CA9">
        <w:rPr>
          <w:sz w:val="20"/>
          <w:szCs w:val="20"/>
        </w:rPr>
        <w:t>of large</w:t>
      </w:r>
      <w:r w:rsidRPr="00135CA9">
        <w:rPr>
          <w:sz w:val="20"/>
          <w:szCs w:val="20"/>
        </w:rPr>
        <w:t xml:space="preserve"> government agencies and </w:t>
      </w:r>
      <w:r w:rsidR="00135CA9" w:rsidRPr="00135CA9">
        <w:rPr>
          <w:sz w:val="20"/>
          <w:szCs w:val="20"/>
        </w:rPr>
        <w:t>well-funded</w:t>
      </w:r>
      <w:r w:rsidRPr="00135CA9">
        <w:rPr>
          <w:sz w:val="20"/>
          <w:szCs w:val="20"/>
        </w:rPr>
        <w:t xml:space="preserve"> research institutions.  A single CPF is of order $30K to build plus the cost of whatever science instruments are required, anywhere from an additional $6K for a single additional sensor to $50K for the complete BGC instrument suite.  The CPF weighs about 40 kg (90 </w:t>
      </w:r>
      <w:proofErr w:type="spellStart"/>
      <w:r w:rsidRPr="00135CA9">
        <w:rPr>
          <w:sz w:val="20"/>
          <w:szCs w:val="20"/>
        </w:rPr>
        <w:t>lbs</w:t>
      </w:r>
      <w:proofErr w:type="spellEnd"/>
      <w:r w:rsidRPr="00135CA9">
        <w:rPr>
          <w:sz w:val="20"/>
          <w:szCs w:val="20"/>
        </w:rPr>
        <w:t>) and can literally be deployed and recovered by 2 people from a rowboat.  Data processing can be done on almost any PC using the tools we will provide as part of the OSE. Capital costs could of course be lower in larger quantities. Maintenance costs should be limited to recharging batteries every year or so. The proposed OSE can scale to support the development of COOSs with a total budget of $100K USD, maybe funded by a grant from a charitable NGO, up to the needs of a national observing program with a budget in the $1Ms of USD per year.</w:t>
      </w:r>
    </w:p>
    <w:p w14:paraId="00000029" w14:textId="00E51F2B" w:rsidR="00127B62" w:rsidRDefault="00127B62" w:rsidP="00135CA9">
      <w:pPr>
        <w:spacing w:after="0" w:line="240" w:lineRule="auto"/>
        <w:ind w:firstLine="90"/>
        <w:rPr>
          <w:sz w:val="20"/>
          <w:szCs w:val="20"/>
        </w:rPr>
      </w:pPr>
    </w:p>
    <w:p w14:paraId="0000002A" w14:textId="6B5C1D6E" w:rsidR="00127B62" w:rsidRDefault="00507BCC" w:rsidP="009E4125">
      <w:pPr>
        <w:pStyle w:val="ListParagraph"/>
        <w:numPr>
          <w:ilvl w:val="1"/>
          <w:numId w:val="4"/>
        </w:numPr>
        <w:spacing w:line="240" w:lineRule="auto"/>
        <w:rPr>
          <w:i/>
          <w:sz w:val="20"/>
          <w:szCs w:val="20"/>
        </w:rPr>
      </w:pPr>
      <w:r w:rsidRPr="00135CA9">
        <w:rPr>
          <w:i/>
          <w:sz w:val="20"/>
          <w:szCs w:val="20"/>
        </w:rPr>
        <w:t>Team qualifications</w:t>
      </w:r>
    </w:p>
    <w:p w14:paraId="141EBC2B" w14:textId="77777777" w:rsidR="00390A5A" w:rsidRDefault="00390A5A" w:rsidP="00B16914">
      <w:pPr>
        <w:pStyle w:val="ListParagraph"/>
        <w:spacing w:line="240" w:lineRule="auto"/>
        <w:ind w:left="0"/>
        <w:rPr>
          <w:sz w:val="20"/>
          <w:szCs w:val="20"/>
        </w:rPr>
      </w:pPr>
      <w:r>
        <w:rPr>
          <w:sz w:val="20"/>
          <w:szCs w:val="20"/>
        </w:rPr>
        <w:t>Dr. Henry Ruhl and Gene Massion will serve as the co-PIs for the proposed work.  Dr. Ruhl is the director Central &amp; Northern California Ocean Observing System.   More from Henry</w:t>
      </w:r>
    </w:p>
    <w:p w14:paraId="09793D5F" w14:textId="77777777" w:rsidR="00390A5A" w:rsidRDefault="00390A5A" w:rsidP="00B16914">
      <w:pPr>
        <w:pStyle w:val="ListParagraph"/>
        <w:spacing w:line="240" w:lineRule="auto"/>
        <w:ind w:left="0"/>
        <w:rPr>
          <w:sz w:val="20"/>
          <w:szCs w:val="20"/>
        </w:rPr>
      </w:pPr>
    </w:p>
    <w:p w14:paraId="47E1F13B" w14:textId="445FF8C9" w:rsidR="00B16914" w:rsidRDefault="00390A5A" w:rsidP="00B16914">
      <w:pPr>
        <w:pStyle w:val="ListParagraph"/>
        <w:spacing w:line="240" w:lineRule="auto"/>
        <w:ind w:left="0"/>
        <w:rPr>
          <w:sz w:val="20"/>
          <w:szCs w:val="20"/>
        </w:rPr>
      </w:pPr>
      <w:r>
        <w:rPr>
          <w:sz w:val="20"/>
          <w:szCs w:val="20"/>
        </w:rPr>
        <w:t>Gene Massion is the lead engineer and project manager for the MBARI CPF project.  More from Gene</w:t>
      </w:r>
    </w:p>
    <w:p w14:paraId="25BBAD1A" w14:textId="2BEC834E" w:rsidR="000F7D1A" w:rsidRDefault="000F7D1A" w:rsidP="00B16914">
      <w:pPr>
        <w:pStyle w:val="ListParagraph"/>
        <w:spacing w:line="240" w:lineRule="auto"/>
        <w:ind w:left="0"/>
        <w:rPr>
          <w:sz w:val="20"/>
          <w:szCs w:val="20"/>
        </w:rPr>
      </w:pPr>
    </w:p>
    <w:p w14:paraId="2B761E67" w14:textId="616A392A" w:rsidR="000F7D1A" w:rsidRDefault="000F7D1A" w:rsidP="00B16914">
      <w:pPr>
        <w:pStyle w:val="ListParagraph"/>
        <w:spacing w:line="240" w:lineRule="auto"/>
        <w:ind w:left="0"/>
        <w:rPr>
          <w:sz w:val="20"/>
          <w:szCs w:val="20"/>
        </w:rPr>
      </w:pPr>
      <w:r>
        <w:rPr>
          <w:sz w:val="20"/>
          <w:szCs w:val="20"/>
        </w:rPr>
        <w:lastRenderedPageBreak/>
        <w:t>Person x, y and z will also be part of the COOS OSE scoping team.</w:t>
      </w:r>
    </w:p>
    <w:p w14:paraId="3C5BE089" w14:textId="77777777" w:rsidR="00390A5A" w:rsidRPr="00390A5A" w:rsidRDefault="00390A5A" w:rsidP="00B16914">
      <w:pPr>
        <w:pStyle w:val="ListParagraph"/>
        <w:spacing w:line="240" w:lineRule="auto"/>
        <w:ind w:left="0"/>
        <w:rPr>
          <w:sz w:val="20"/>
          <w:szCs w:val="20"/>
        </w:rPr>
      </w:pPr>
    </w:p>
    <w:p w14:paraId="0000002B" w14:textId="77777777" w:rsidR="00127B62" w:rsidRPr="00135CA9" w:rsidRDefault="00507BCC" w:rsidP="009E4125">
      <w:pPr>
        <w:pStyle w:val="ListParagraph"/>
        <w:numPr>
          <w:ilvl w:val="1"/>
          <w:numId w:val="4"/>
        </w:numPr>
        <w:spacing w:line="240" w:lineRule="auto"/>
        <w:rPr>
          <w:i/>
          <w:sz w:val="20"/>
          <w:szCs w:val="20"/>
        </w:rPr>
      </w:pPr>
      <w:r w:rsidRPr="00135CA9">
        <w:rPr>
          <w:i/>
          <w:sz w:val="20"/>
          <w:szCs w:val="20"/>
        </w:rPr>
        <w:t xml:space="preserve">Ecosystem </w:t>
      </w:r>
      <w:proofErr w:type="spellStart"/>
      <w:r w:rsidRPr="00135CA9">
        <w:rPr>
          <w:i/>
          <w:sz w:val="20"/>
          <w:szCs w:val="20"/>
        </w:rPr>
        <w:t>DIscovery</w:t>
      </w:r>
      <w:proofErr w:type="spellEnd"/>
    </w:p>
    <w:p w14:paraId="0000002C" w14:textId="4952EBE9" w:rsidR="00127B62" w:rsidRDefault="00507BCC" w:rsidP="001C1D2E">
      <w:pPr>
        <w:pStyle w:val="ListParagraph"/>
        <w:spacing w:line="240" w:lineRule="auto"/>
        <w:ind w:left="0"/>
        <w:rPr>
          <w:i/>
          <w:sz w:val="20"/>
          <w:szCs w:val="20"/>
        </w:rPr>
      </w:pPr>
      <w:r w:rsidRPr="00135CA9">
        <w:rPr>
          <w:i/>
          <w:sz w:val="20"/>
          <w:szCs w:val="20"/>
        </w:rPr>
        <w:t>From the proposal: a plan for developing a strategy that: (1) describes methods to evaluate and justify the need for the innovation within the current technological landscape; (2) explains why an OSE is the right approach to further develop the technology; and (3) outlines methods to identify potential users who will utilize this technology.</w:t>
      </w:r>
    </w:p>
    <w:p w14:paraId="0D311A1F" w14:textId="77777777" w:rsidR="009E4125" w:rsidRPr="00135CA9" w:rsidRDefault="009E4125" w:rsidP="009E4125">
      <w:pPr>
        <w:pStyle w:val="ListParagraph"/>
        <w:spacing w:line="240" w:lineRule="auto"/>
        <w:ind w:left="360"/>
        <w:rPr>
          <w:sz w:val="20"/>
          <w:szCs w:val="20"/>
        </w:rPr>
      </w:pPr>
    </w:p>
    <w:p w14:paraId="0000002D" w14:textId="77777777" w:rsidR="00127B62" w:rsidRPr="00135CA9" w:rsidRDefault="00507BCC" w:rsidP="009E4125">
      <w:pPr>
        <w:pStyle w:val="ListParagraph"/>
        <w:numPr>
          <w:ilvl w:val="1"/>
          <w:numId w:val="4"/>
        </w:numPr>
        <w:spacing w:line="240" w:lineRule="auto"/>
        <w:rPr>
          <w:i/>
          <w:sz w:val="20"/>
          <w:szCs w:val="20"/>
        </w:rPr>
      </w:pPr>
      <w:r w:rsidRPr="00135CA9">
        <w:rPr>
          <w:i/>
          <w:sz w:val="20"/>
          <w:szCs w:val="20"/>
        </w:rPr>
        <w:t>Organization and Governance</w:t>
      </w:r>
    </w:p>
    <w:p w14:paraId="0000002E" w14:textId="2BC1CF06" w:rsidR="00127B62" w:rsidRDefault="00507BCC" w:rsidP="001C1D2E">
      <w:pPr>
        <w:pStyle w:val="ListParagraph"/>
        <w:spacing w:line="240" w:lineRule="auto"/>
        <w:ind w:left="0"/>
        <w:rPr>
          <w:i/>
          <w:sz w:val="20"/>
          <w:szCs w:val="20"/>
        </w:rPr>
      </w:pPr>
      <w:r w:rsidRPr="00135CA9">
        <w:rPr>
          <w:i/>
          <w:sz w:val="20"/>
          <w:szCs w:val="20"/>
        </w:rPr>
        <w:t>From the proposal:  specific activities and their rationale that will identify: (1) the appropriate organizational, coordination, and governance models including the licensing approach to be employed; (2) the specific continuous development and integration processes and infrastructure that is most suitable for open, asynchronous, and distributed development of the open-source product, (3) processes for ensuring quality, security, privacy or ethical concerns of new content; and (4) the best methods for sustaining the organizational structure, including metrics to assess and evaluate long-term success of the development methodology, support for users, and on-boarding mechanisms for new contributors.</w:t>
      </w:r>
    </w:p>
    <w:p w14:paraId="452FD832" w14:textId="5785C6C9" w:rsidR="00390A5A" w:rsidRDefault="00390A5A" w:rsidP="001C1D2E">
      <w:pPr>
        <w:pStyle w:val="ListParagraph"/>
        <w:spacing w:line="240" w:lineRule="auto"/>
        <w:ind w:left="0"/>
        <w:rPr>
          <w:sz w:val="20"/>
          <w:szCs w:val="20"/>
        </w:rPr>
      </w:pPr>
    </w:p>
    <w:p w14:paraId="125FBA1C" w14:textId="4DBBFA21" w:rsidR="00390A5A" w:rsidRDefault="00390A5A" w:rsidP="00390A5A">
      <w:pPr>
        <w:pStyle w:val="ListParagraph"/>
        <w:spacing w:line="240" w:lineRule="auto"/>
        <w:ind w:left="0"/>
        <w:rPr>
          <w:sz w:val="20"/>
          <w:szCs w:val="20"/>
        </w:rPr>
      </w:pPr>
      <w:r>
        <w:rPr>
          <w:sz w:val="20"/>
          <w:szCs w:val="20"/>
        </w:rPr>
        <w:t xml:space="preserve">The Central &amp; Northern California Ocean Observing System </w:t>
      </w:r>
      <w:r w:rsidRPr="00390A5A">
        <w:rPr>
          <w:sz w:val="20"/>
          <w:szCs w:val="20"/>
          <w:vertAlign w:val="superscript"/>
        </w:rPr>
        <w:t>ref</w:t>
      </w:r>
      <w:r>
        <w:rPr>
          <w:sz w:val="20"/>
          <w:szCs w:val="20"/>
        </w:rPr>
        <w:t xml:space="preserve"> (</w:t>
      </w:r>
      <w:proofErr w:type="spellStart"/>
      <w:r w:rsidRPr="00390A5A">
        <w:rPr>
          <w:sz w:val="20"/>
          <w:szCs w:val="20"/>
        </w:rPr>
        <w:t>CeNCOOS</w:t>
      </w:r>
      <w:proofErr w:type="spellEnd"/>
      <w:r>
        <w:rPr>
          <w:sz w:val="20"/>
          <w:szCs w:val="20"/>
        </w:rPr>
        <w:t>) is hosted at</w:t>
      </w:r>
      <w:r w:rsidR="00611D10">
        <w:rPr>
          <w:sz w:val="20"/>
          <w:szCs w:val="20"/>
        </w:rPr>
        <w:t>(?)</w:t>
      </w:r>
      <w:r>
        <w:rPr>
          <w:sz w:val="20"/>
          <w:szCs w:val="20"/>
        </w:rPr>
        <w:t xml:space="preserve"> MBARI and will serve as the governing body for the proposed OSE</w:t>
      </w:r>
      <w:r w:rsidRPr="00390A5A">
        <w:rPr>
          <w:sz w:val="20"/>
          <w:szCs w:val="20"/>
        </w:rPr>
        <w:t>.</w:t>
      </w:r>
      <w:r>
        <w:rPr>
          <w:sz w:val="20"/>
          <w:szCs w:val="20"/>
        </w:rPr>
        <w:t xml:space="preserve">  </w:t>
      </w:r>
      <w:r w:rsidRPr="00390A5A">
        <w:rPr>
          <w:sz w:val="20"/>
          <w:szCs w:val="20"/>
        </w:rPr>
        <w:t xml:space="preserve">The </w:t>
      </w:r>
      <w:proofErr w:type="spellStart"/>
      <w:r w:rsidRPr="00390A5A">
        <w:rPr>
          <w:sz w:val="20"/>
          <w:szCs w:val="20"/>
        </w:rPr>
        <w:t>CeNCOOS</w:t>
      </w:r>
      <w:proofErr w:type="spellEnd"/>
      <w:r w:rsidRPr="00390A5A">
        <w:rPr>
          <w:sz w:val="20"/>
          <w:szCs w:val="20"/>
        </w:rPr>
        <w:t xml:space="preserve"> collaborative engages numerous investigators and technical experts, students, and institutions</w:t>
      </w:r>
      <w:r w:rsidR="00611D10">
        <w:rPr>
          <w:sz w:val="20"/>
          <w:szCs w:val="20"/>
        </w:rPr>
        <w:t xml:space="preserve">. Their </w:t>
      </w:r>
      <w:r w:rsidRPr="00390A5A">
        <w:rPr>
          <w:sz w:val="20"/>
          <w:szCs w:val="20"/>
        </w:rPr>
        <w:t>systems and capabilities are evolving to provide real-time and forecasted information</w:t>
      </w:r>
      <w:r w:rsidR="00611D10">
        <w:rPr>
          <w:sz w:val="20"/>
          <w:szCs w:val="20"/>
        </w:rPr>
        <w:t>,</w:t>
      </w:r>
      <w:r w:rsidRPr="00390A5A">
        <w:rPr>
          <w:sz w:val="20"/>
          <w:szCs w:val="20"/>
        </w:rPr>
        <w:t xml:space="preserve"> to advance integrated assessment tools </w:t>
      </w:r>
      <w:r w:rsidR="00611D10">
        <w:rPr>
          <w:sz w:val="20"/>
          <w:szCs w:val="20"/>
        </w:rPr>
        <w:t>and other e</w:t>
      </w:r>
      <w:r w:rsidRPr="00390A5A">
        <w:rPr>
          <w:sz w:val="20"/>
          <w:szCs w:val="20"/>
        </w:rPr>
        <w:t>merging technologies</w:t>
      </w:r>
      <w:r w:rsidR="002E0FD2">
        <w:rPr>
          <w:sz w:val="20"/>
          <w:szCs w:val="20"/>
        </w:rPr>
        <w:t xml:space="preserve"> </w:t>
      </w:r>
      <w:r w:rsidR="00611D10">
        <w:rPr>
          <w:sz w:val="20"/>
          <w:szCs w:val="20"/>
        </w:rPr>
        <w:t>(</w:t>
      </w:r>
      <w:r w:rsidR="002E0FD2">
        <w:rPr>
          <w:sz w:val="20"/>
          <w:szCs w:val="20"/>
        </w:rPr>
        <w:t>plagiarized</w:t>
      </w:r>
      <w:r w:rsidR="00611D10">
        <w:rPr>
          <w:sz w:val="20"/>
          <w:szCs w:val="20"/>
        </w:rPr>
        <w:t xml:space="preserve"> from the </w:t>
      </w:r>
      <w:proofErr w:type="spellStart"/>
      <w:r w:rsidR="00611D10">
        <w:rPr>
          <w:sz w:val="20"/>
          <w:szCs w:val="20"/>
        </w:rPr>
        <w:t>CeNCOOS</w:t>
      </w:r>
      <w:proofErr w:type="spellEnd"/>
      <w:r w:rsidR="00611D10">
        <w:rPr>
          <w:sz w:val="20"/>
          <w:szCs w:val="20"/>
        </w:rPr>
        <w:t xml:space="preserve"> website)</w:t>
      </w:r>
      <w:r>
        <w:rPr>
          <w:sz w:val="20"/>
          <w:szCs w:val="20"/>
        </w:rPr>
        <w:t>.  more from Henry.</w:t>
      </w:r>
    </w:p>
    <w:p w14:paraId="3F77968F" w14:textId="69D7CC3B" w:rsidR="002E0FD2" w:rsidRDefault="002E0FD2" w:rsidP="00390A5A">
      <w:pPr>
        <w:pStyle w:val="ListParagraph"/>
        <w:spacing w:line="240" w:lineRule="auto"/>
        <w:ind w:left="0"/>
        <w:rPr>
          <w:sz w:val="20"/>
          <w:szCs w:val="20"/>
        </w:rPr>
      </w:pPr>
    </w:p>
    <w:p w14:paraId="16C2DCEF" w14:textId="26F8CC1E" w:rsidR="002E0FD2" w:rsidRPr="00390A5A" w:rsidRDefault="002E0FD2" w:rsidP="00390A5A">
      <w:pPr>
        <w:pStyle w:val="ListParagraph"/>
        <w:spacing w:line="240" w:lineRule="auto"/>
        <w:ind w:left="0"/>
        <w:rPr>
          <w:sz w:val="20"/>
          <w:szCs w:val="20"/>
        </w:rPr>
      </w:pPr>
      <w:r>
        <w:rPr>
          <w:sz w:val="20"/>
          <w:szCs w:val="20"/>
        </w:rPr>
        <w:t xml:space="preserve">While we have a rough idea of what the organization and governance model for the proposed COOS OSE might look like, we are looking forward to the training sessions provided to Phase 1 proposal to really define the details. Our current view of the governance structure is as follows.   </w:t>
      </w:r>
    </w:p>
    <w:p w14:paraId="4227F7F1" w14:textId="77777777" w:rsidR="00390A5A" w:rsidRPr="00135CA9" w:rsidRDefault="00390A5A" w:rsidP="001C1D2E">
      <w:pPr>
        <w:pStyle w:val="ListParagraph"/>
        <w:spacing w:line="240" w:lineRule="auto"/>
        <w:ind w:left="0"/>
        <w:rPr>
          <w:sz w:val="20"/>
          <w:szCs w:val="20"/>
        </w:rPr>
      </w:pPr>
    </w:p>
    <w:p w14:paraId="0000002F" w14:textId="77777777" w:rsidR="00127B62" w:rsidRPr="00135CA9" w:rsidRDefault="00507BCC" w:rsidP="009E4125">
      <w:pPr>
        <w:pStyle w:val="ListParagraph"/>
        <w:numPr>
          <w:ilvl w:val="1"/>
          <w:numId w:val="4"/>
        </w:numPr>
        <w:spacing w:line="240" w:lineRule="auto"/>
        <w:rPr>
          <w:i/>
          <w:sz w:val="20"/>
          <w:szCs w:val="20"/>
        </w:rPr>
      </w:pPr>
      <w:r w:rsidRPr="00135CA9">
        <w:rPr>
          <w:i/>
          <w:sz w:val="20"/>
          <w:szCs w:val="20"/>
        </w:rPr>
        <w:t>Community Building</w:t>
      </w:r>
    </w:p>
    <w:p w14:paraId="00000030" w14:textId="77777777" w:rsidR="00127B62" w:rsidRPr="00135CA9" w:rsidRDefault="00507BCC" w:rsidP="001C1D2E">
      <w:pPr>
        <w:pStyle w:val="ListParagraph"/>
        <w:spacing w:line="240" w:lineRule="auto"/>
        <w:ind w:left="0"/>
        <w:rPr>
          <w:sz w:val="20"/>
          <w:szCs w:val="20"/>
        </w:rPr>
      </w:pPr>
      <w:r w:rsidRPr="00135CA9">
        <w:rPr>
          <w:i/>
          <w:sz w:val="20"/>
          <w:szCs w:val="20"/>
        </w:rPr>
        <w:t>From the proposal: Specific activities to engage potential users and intellectual content developers, including: (1) identification of the specific research and development capabilities required of the potential contributor communities; and (2) mechanisms to engage these communities (e.g., workshops, hackathons, competitions, research coordination networks, and Ideas Labs). </w:t>
      </w:r>
    </w:p>
    <w:p w14:paraId="00000031" w14:textId="77777777" w:rsidR="00127B62" w:rsidRPr="00135CA9" w:rsidRDefault="00507BCC" w:rsidP="00135CA9">
      <w:pPr>
        <w:pStyle w:val="ListParagraph"/>
        <w:numPr>
          <w:ilvl w:val="0"/>
          <w:numId w:val="4"/>
        </w:numPr>
        <w:spacing w:after="0" w:line="240" w:lineRule="auto"/>
        <w:rPr>
          <w:b/>
          <w:sz w:val="20"/>
          <w:szCs w:val="20"/>
        </w:rPr>
      </w:pPr>
      <w:r w:rsidRPr="00135CA9">
        <w:rPr>
          <w:b/>
          <w:sz w:val="20"/>
          <w:szCs w:val="20"/>
        </w:rPr>
        <w:t>Intellectual Merit</w:t>
      </w:r>
    </w:p>
    <w:p w14:paraId="00000032" w14:textId="77777777" w:rsidR="00127B62" w:rsidRPr="00135CA9" w:rsidRDefault="00507BCC" w:rsidP="00135CA9">
      <w:pPr>
        <w:pStyle w:val="ListParagraph"/>
        <w:numPr>
          <w:ilvl w:val="0"/>
          <w:numId w:val="4"/>
        </w:numPr>
        <w:spacing w:line="240" w:lineRule="auto"/>
        <w:rPr>
          <w:b/>
          <w:sz w:val="20"/>
          <w:szCs w:val="20"/>
        </w:rPr>
      </w:pPr>
      <w:r w:rsidRPr="00135CA9">
        <w:rPr>
          <w:b/>
          <w:sz w:val="20"/>
          <w:szCs w:val="20"/>
        </w:rPr>
        <w:t>Broader Impacts</w:t>
      </w:r>
    </w:p>
    <w:p w14:paraId="00000033" w14:textId="40FC00AE" w:rsidR="00127B62" w:rsidRPr="00135CA9" w:rsidRDefault="00676E4C" w:rsidP="00FA64A1">
      <w:pPr>
        <w:pStyle w:val="ListParagraph"/>
        <w:spacing w:line="240" w:lineRule="auto"/>
        <w:ind w:left="360"/>
        <w:rPr>
          <w:sz w:val="20"/>
          <w:szCs w:val="20"/>
        </w:rPr>
      </w:pPr>
      <w:r w:rsidRPr="00135CA9">
        <w:rPr>
          <w:sz w:val="20"/>
          <w:szCs w:val="20"/>
        </w:rPr>
        <w:t xml:space="preserve">Need to separate out the OSE specific broader impacts in </w:t>
      </w:r>
      <w:r w:rsidR="00507BCC" w:rsidRPr="00135CA9">
        <w:rPr>
          <w:sz w:val="20"/>
          <w:szCs w:val="20"/>
        </w:rPr>
        <w:t xml:space="preserve">section 2.3 </w:t>
      </w:r>
      <w:r w:rsidRPr="00135CA9">
        <w:rPr>
          <w:sz w:val="20"/>
          <w:szCs w:val="20"/>
        </w:rPr>
        <w:t xml:space="preserve">and the broader </w:t>
      </w:r>
      <w:proofErr w:type="spellStart"/>
      <w:r w:rsidRPr="00135CA9">
        <w:rPr>
          <w:sz w:val="20"/>
          <w:szCs w:val="20"/>
        </w:rPr>
        <w:t>broader</w:t>
      </w:r>
      <w:proofErr w:type="spellEnd"/>
      <w:r w:rsidRPr="00135CA9">
        <w:rPr>
          <w:sz w:val="20"/>
          <w:szCs w:val="20"/>
        </w:rPr>
        <w:t xml:space="preserve"> impacts into this section</w:t>
      </w:r>
    </w:p>
    <w:p w14:paraId="1EB2F5BF" w14:textId="7E65F4DD" w:rsidR="00135CA9" w:rsidRPr="001D41E1" w:rsidRDefault="00135CA9" w:rsidP="00135CA9">
      <w:pPr>
        <w:pStyle w:val="ListParagraph"/>
        <w:numPr>
          <w:ilvl w:val="0"/>
          <w:numId w:val="4"/>
        </w:numPr>
        <w:spacing w:line="240" w:lineRule="auto"/>
        <w:rPr>
          <w:b/>
          <w:sz w:val="20"/>
          <w:szCs w:val="20"/>
        </w:rPr>
      </w:pPr>
      <w:r w:rsidRPr="00135CA9">
        <w:rPr>
          <w:b/>
          <w:sz w:val="20"/>
          <w:szCs w:val="20"/>
        </w:rPr>
        <w:t>Risks and risk mitigation</w:t>
      </w:r>
    </w:p>
    <w:p w14:paraId="3047D2EC" w14:textId="085E65C6" w:rsidR="00A949A3" w:rsidRPr="001D41E1" w:rsidRDefault="00FB13B8" w:rsidP="00A949A3">
      <w:pPr>
        <w:pStyle w:val="ListParagraph"/>
        <w:numPr>
          <w:ilvl w:val="0"/>
          <w:numId w:val="4"/>
        </w:numPr>
        <w:spacing w:line="240" w:lineRule="auto"/>
        <w:rPr>
          <w:b/>
          <w:sz w:val="20"/>
          <w:szCs w:val="20"/>
        </w:rPr>
      </w:pPr>
      <w:r w:rsidRPr="001D41E1">
        <w:rPr>
          <w:b/>
          <w:sz w:val="20"/>
          <w:szCs w:val="20"/>
        </w:rPr>
        <w:t xml:space="preserve">Work </w:t>
      </w:r>
      <w:r w:rsidR="00507BCC" w:rsidRPr="001D41E1">
        <w:rPr>
          <w:b/>
          <w:sz w:val="20"/>
          <w:szCs w:val="20"/>
        </w:rPr>
        <w:t>Plan</w:t>
      </w:r>
      <w:r w:rsidRPr="001D41E1">
        <w:rPr>
          <w:b/>
          <w:sz w:val="20"/>
          <w:szCs w:val="20"/>
        </w:rPr>
        <w:t xml:space="preserve"> </w:t>
      </w:r>
      <w:r w:rsidR="005F64B4">
        <w:rPr>
          <w:b/>
          <w:sz w:val="20"/>
          <w:szCs w:val="20"/>
        </w:rPr>
        <w:t>for the proposed project</w:t>
      </w:r>
    </w:p>
    <w:p w14:paraId="7737AB3F" w14:textId="16A1ED2E" w:rsidR="00FB13B8" w:rsidRDefault="00676E4C" w:rsidP="00A949A3">
      <w:pPr>
        <w:pStyle w:val="ListParagraph"/>
        <w:numPr>
          <w:ilvl w:val="0"/>
          <w:numId w:val="6"/>
        </w:numPr>
        <w:spacing w:line="240" w:lineRule="auto"/>
        <w:rPr>
          <w:sz w:val="20"/>
          <w:szCs w:val="20"/>
        </w:rPr>
      </w:pPr>
      <w:r w:rsidRPr="00A949A3">
        <w:rPr>
          <w:sz w:val="20"/>
          <w:szCs w:val="20"/>
        </w:rPr>
        <w:t>Develop use-cases</w:t>
      </w:r>
      <w:r w:rsidR="00135CA9" w:rsidRPr="00A949A3">
        <w:rPr>
          <w:sz w:val="20"/>
          <w:szCs w:val="20"/>
        </w:rPr>
        <w:t xml:space="preserve"> (ecosystem discovery?)</w:t>
      </w:r>
    </w:p>
    <w:p w14:paraId="41673052" w14:textId="13984AB5" w:rsidR="00676E4C" w:rsidRDefault="00676E4C" w:rsidP="00A949A3">
      <w:pPr>
        <w:pStyle w:val="ListParagraph"/>
        <w:numPr>
          <w:ilvl w:val="1"/>
          <w:numId w:val="6"/>
        </w:numPr>
        <w:spacing w:line="240" w:lineRule="auto"/>
        <w:rPr>
          <w:sz w:val="20"/>
          <w:szCs w:val="20"/>
        </w:rPr>
      </w:pPr>
      <w:r w:rsidRPr="00A949A3">
        <w:rPr>
          <w:sz w:val="20"/>
          <w:szCs w:val="20"/>
        </w:rPr>
        <w:t xml:space="preserve">Community led </w:t>
      </w:r>
      <w:r w:rsidR="00FB13B8" w:rsidRPr="00A949A3">
        <w:rPr>
          <w:sz w:val="20"/>
          <w:szCs w:val="20"/>
        </w:rPr>
        <w:t>conservation groups</w:t>
      </w:r>
    </w:p>
    <w:p w14:paraId="04CAE8BD" w14:textId="1F4191E9" w:rsidR="00FB13B8" w:rsidRDefault="00FB13B8" w:rsidP="00A949A3">
      <w:pPr>
        <w:pStyle w:val="ListParagraph"/>
        <w:numPr>
          <w:ilvl w:val="1"/>
          <w:numId w:val="6"/>
        </w:numPr>
        <w:spacing w:line="240" w:lineRule="auto"/>
        <w:rPr>
          <w:sz w:val="20"/>
          <w:szCs w:val="20"/>
        </w:rPr>
      </w:pPr>
      <w:r w:rsidRPr="00A949A3">
        <w:rPr>
          <w:sz w:val="20"/>
          <w:szCs w:val="20"/>
        </w:rPr>
        <w:t>Future seas</w:t>
      </w:r>
    </w:p>
    <w:p w14:paraId="06B399A1" w14:textId="77E84A50" w:rsidR="00FB13B8" w:rsidRDefault="00FB13B8" w:rsidP="00A949A3">
      <w:pPr>
        <w:pStyle w:val="ListParagraph"/>
        <w:numPr>
          <w:ilvl w:val="1"/>
          <w:numId w:val="6"/>
        </w:numPr>
        <w:spacing w:line="240" w:lineRule="auto"/>
        <w:rPr>
          <w:sz w:val="20"/>
          <w:szCs w:val="20"/>
        </w:rPr>
      </w:pPr>
      <w:r w:rsidRPr="00A949A3">
        <w:rPr>
          <w:sz w:val="20"/>
          <w:szCs w:val="20"/>
        </w:rPr>
        <w:t>College engineering and science projects</w:t>
      </w:r>
    </w:p>
    <w:p w14:paraId="3BABAE46" w14:textId="3BB001CF" w:rsidR="00FB13B8" w:rsidRPr="00A949A3" w:rsidRDefault="00FB13B8" w:rsidP="00A949A3">
      <w:pPr>
        <w:pStyle w:val="ListParagraph"/>
        <w:numPr>
          <w:ilvl w:val="1"/>
          <w:numId w:val="6"/>
        </w:numPr>
        <w:spacing w:line="240" w:lineRule="auto"/>
        <w:rPr>
          <w:sz w:val="20"/>
          <w:szCs w:val="20"/>
        </w:rPr>
      </w:pPr>
      <w:r w:rsidRPr="00A949A3">
        <w:rPr>
          <w:sz w:val="20"/>
          <w:szCs w:val="20"/>
        </w:rPr>
        <w:t>Small research groups</w:t>
      </w:r>
    </w:p>
    <w:p w14:paraId="38385EE3" w14:textId="0F841B8D" w:rsidR="00FB13B8" w:rsidRDefault="00FB13B8" w:rsidP="00A949A3">
      <w:pPr>
        <w:pStyle w:val="ListParagraph"/>
        <w:numPr>
          <w:ilvl w:val="0"/>
          <w:numId w:val="6"/>
        </w:numPr>
        <w:spacing w:line="240" w:lineRule="auto"/>
        <w:rPr>
          <w:sz w:val="20"/>
          <w:szCs w:val="20"/>
        </w:rPr>
      </w:pPr>
      <w:r w:rsidRPr="00A949A3">
        <w:rPr>
          <w:sz w:val="20"/>
          <w:szCs w:val="20"/>
        </w:rPr>
        <w:t>Develop resources</w:t>
      </w:r>
    </w:p>
    <w:p w14:paraId="0651B7D8" w14:textId="4374ECB4" w:rsidR="00FB13B8" w:rsidRDefault="00FB13B8" w:rsidP="00A949A3">
      <w:pPr>
        <w:pStyle w:val="ListParagraph"/>
        <w:numPr>
          <w:ilvl w:val="1"/>
          <w:numId w:val="6"/>
        </w:numPr>
        <w:spacing w:line="240" w:lineRule="auto"/>
        <w:rPr>
          <w:sz w:val="20"/>
          <w:szCs w:val="20"/>
        </w:rPr>
      </w:pPr>
      <w:r w:rsidRPr="00A949A3">
        <w:rPr>
          <w:sz w:val="20"/>
          <w:szCs w:val="20"/>
        </w:rPr>
        <w:t>Contract manufacturer (Applied Engineering in San Jose)</w:t>
      </w:r>
    </w:p>
    <w:p w14:paraId="77A980C4" w14:textId="6E2C24E3" w:rsidR="00DF04D1" w:rsidRDefault="00DF04D1" w:rsidP="00A949A3">
      <w:pPr>
        <w:pStyle w:val="ListParagraph"/>
        <w:numPr>
          <w:ilvl w:val="1"/>
          <w:numId w:val="6"/>
        </w:numPr>
        <w:spacing w:line="240" w:lineRule="auto"/>
        <w:rPr>
          <w:sz w:val="20"/>
          <w:szCs w:val="20"/>
        </w:rPr>
      </w:pPr>
      <w:r>
        <w:rPr>
          <w:sz w:val="20"/>
          <w:szCs w:val="20"/>
        </w:rPr>
        <w:t xml:space="preserve">Make </w:t>
      </w:r>
      <w:proofErr w:type="spellStart"/>
      <w:r>
        <w:rPr>
          <w:sz w:val="20"/>
          <w:szCs w:val="20"/>
        </w:rPr>
        <w:t>CPFViz</w:t>
      </w:r>
      <w:proofErr w:type="spellEnd"/>
      <w:r>
        <w:rPr>
          <w:sz w:val="20"/>
          <w:szCs w:val="20"/>
        </w:rPr>
        <w:t xml:space="preserve"> publicly accessible public and maybe update?</w:t>
      </w:r>
    </w:p>
    <w:p w14:paraId="66D92F31" w14:textId="5211F499" w:rsidR="00FB13B8" w:rsidRDefault="00FB13B8" w:rsidP="00A949A3">
      <w:pPr>
        <w:pStyle w:val="ListParagraph"/>
        <w:numPr>
          <w:ilvl w:val="1"/>
          <w:numId w:val="6"/>
        </w:numPr>
        <w:spacing w:line="240" w:lineRule="auto"/>
        <w:rPr>
          <w:sz w:val="20"/>
          <w:szCs w:val="20"/>
        </w:rPr>
      </w:pPr>
      <w:r w:rsidRPr="00A949A3">
        <w:rPr>
          <w:sz w:val="20"/>
          <w:szCs w:val="20"/>
        </w:rPr>
        <w:t>Document repo (Bitbucket or similar?)</w:t>
      </w:r>
    </w:p>
    <w:p w14:paraId="269C589A" w14:textId="110BFC3A" w:rsidR="00FB13B8" w:rsidRPr="00A949A3" w:rsidRDefault="00FB13B8" w:rsidP="00A949A3">
      <w:pPr>
        <w:pStyle w:val="ListParagraph"/>
        <w:numPr>
          <w:ilvl w:val="1"/>
          <w:numId w:val="6"/>
        </w:numPr>
        <w:spacing w:line="240" w:lineRule="auto"/>
        <w:rPr>
          <w:sz w:val="20"/>
          <w:szCs w:val="20"/>
        </w:rPr>
      </w:pPr>
      <w:r w:rsidRPr="00A949A3">
        <w:rPr>
          <w:sz w:val="20"/>
          <w:szCs w:val="20"/>
        </w:rPr>
        <w:t xml:space="preserve">List of science, engineering tech resources ( </w:t>
      </w:r>
      <w:hyperlink r:id="rId6" w:history="1">
        <w:r w:rsidRPr="00A949A3">
          <w:rPr>
            <w:rStyle w:val="Hyperlink"/>
            <w:sz w:val="20"/>
            <w:szCs w:val="20"/>
          </w:rPr>
          <w:t>https://oceantechconnection.com/</w:t>
        </w:r>
      </w:hyperlink>
      <w:r w:rsidRPr="00A949A3">
        <w:rPr>
          <w:sz w:val="20"/>
          <w:szCs w:val="20"/>
        </w:rPr>
        <w:t xml:space="preserve"> )</w:t>
      </w:r>
    </w:p>
    <w:p w14:paraId="13D7F93E" w14:textId="0E1F30B1" w:rsidR="00135CA9" w:rsidRPr="00A949A3" w:rsidRDefault="00135CA9" w:rsidP="00A949A3">
      <w:pPr>
        <w:pStyle w:val="ListParagraph"/>
        <w:numPr>
          <w:ilvl w:val="0"/>
          <w:numId w:val="6"/>
        </w:numPr>
        <w:spacing w:line="240" w:lineRule="auto"/>
        <w:rPr>
          <w:sz w:val="20"/>
          <w:szCs w:val="20"/>
        </w:rPr>
      </w:pPr>
      <w:r w:rsidRPr="00A949A3">
        <w:rPr>
          <w:sz w:val="20"/>
          <w:szCs w:val="20"/>
        </w:rPr>
        <w:t>Flesh out a governance structure</w:t>
      </w:r>
    </w:p>
    <w:p w14:paraId="5D9B9F23" w14:textId="2F7D35EE" w:rsidR="00135CA9" w:rsidRDefault="00135CA9" w:rsidP="00A949A3">
      <w:pPr>
        <w:pStyle w:val="ListParagraph"/>
        <w:numPr>
          <w:ilvl w:val="0"/>
          <w:numId w:val="6"/>
        </w:numPr>
        <w:spacing w:line="240" w:lineRule="auto"/>
        <w:rPr>
          <w:sz w:val="20"/>
          <w:szCs w:val="20"/>
        </w:rPr>
      </w:pPr>
      <w:r w:rsidRPr="00A949A3">
        <w:rPr>
          <w:sz w:val="20"/>
          <w:szCs w:val="20"/>
        </w:rPr>
        <w:t>Flesh out how we will build community</w:t>
      </w:r>
    </w:p>
    <w:p w14:paraId="39A53998" w14:textId="2F10B9AB" w:rsidR="00135CA9" w:rsidRDefault="00135CA9" w:rsidP="00A949A3">
      <w:pPr>
        <w:pStyle w:val="ListParagraph"/>
        <w:numPr>
          <w:ilvl w:val="1"/>
          <w:numId w:val="6"/>
        </w:numPr>
        <w:spacing w:line="240" w:lineRule="auto"/>
        <w:rPr>
          <w:sz w:val="20"/>
          <w:szCs w:val="20"/>
        </w:rPr>
      </w:pPr>
      <w:r w:rsidRPr="00A949A3">
        <w:rPr>
          <w:sz w:val="20"/>
          <w:szCs w:val="20"/>
        </w:rPr>
        <w:t xml:space="preserve">Maker </w:t>
      </w:r>
      <w:r w:rsidR="00E43E44">
        <w:rPr>
          <w:sz w:val="20"/>
          <w:szCs w:val="20"/>
        </w:rPr>
        <w:t>workshop in phase 2</w:t>
      </w:r>
      <w:r w:rsidRPr="00A949A3">
        <w:rPr>
          <w:sz w:val="20"/>
          <w:szCs w:val="20"/>
        </w:rPr>
        <w:t>?</w:t>
      </w:r>
    </w:p>
    <w:p w14:paraId="28A1FE05" w14:textId="77777777" w:rsidR="00FA64A1" w:rsidRDefault="00FA64A1" w:rsidP="00FA64A1">
      <w:pPr>
        <w:pStyle w:val="ListParagraph"/>
        <w:numPr>
          <w:ilvl w:val="0"/>
          <w:numId w:val="6"/>
        </w:numPr>
        <w:spacing w:line="240" w:lineRule="auto"/>
        <w:rPr>
          <w:sz w:val="20"/>
          <w:szCs w:val="20"/>
        </w:rPr>
      </w:pPr>
      <w:r w:rsidRPr="009E4125">
        <w:rPr>
          <w:sz w:val="20"/>
          <w:szCs w:val="20"/>
        </w:rPr>
        <w:t>Flesh out the Security plan</w:t>
      </w:r>
    </w:p>
    <w:p w14:paraId="2FAF9436" w14:textId="403A708B" w:rsidR="00FA64A1" w:rsidRPr="00FA64A1" w:rsidRDefault="00FA64A1" w:rsidP="00FA64A1">
      <w:pPr>
        <w:pStyle w:val="ListParagraph"/>
        <w:spacing w:line="240" w:lineRule="auto"/>
        <w:ind w:left="1170"/>
        <w:rPr>
          <w:sz w:val="20"/>
          <w:szCs w:val="20"/>
        </w:rPr>
      </w:pPr>
      <w:r w:rsidRPr="009E4125">
        <w:rPr>
          <w:i/>
          <w:sz w:val="20"/>
          <w:szCs w:val="20"/>
        </w:rPr>
        <w:t xml:space="preserve">From the proposal: All proposals must include a security plan that addresses all project-relevant security aspects, particularly those related to the open-source products, such as data and source </w:t>
      </w:r>
      <w:r w:rsidRPr="009E4125">
        <w:rPr>
          <w:i/>
          <w:sz w:val="20"/>
          <w:szCs w:val="20"/>
        </w:rPr>
        <w:lastRenderedPageBreak/>
        <w:t>code including data privacy and code quality. Proposers are encouraged to consider the U.S. Cybersecurity and Infrastructure Security Agency (CISA) and the U.S. National Security Agency (NSA) guidance for developers on securing software supply chains and the Open Source Security Foundation's best practices. This security plan should be part of the "Data Management Plan" (see Proposal Preparation Instructions for additional details). </w:t>
      </w:r>
    </w:p>
    <w:p w14:paraId="3DC4EF27" w14:textId="1BBB4B14" w:rsidR="00FB13B8" w:rsidRDefault="00FB13B8" w:rsidP="00A949A3">
      <w:pPr>
        <w:pStyle w:val="ListParagraph"/>
        <w:numPr>
          <w:ilvl w:val="0"/>
          <w:numId w:val="6"/>
        </w:numPr>
        <w:spacing w:line="240" w:lineRule="auto"/>
        <w:rPr>
          <w:sz w:val="20"/>
          <w:szCs w:val="20"/>
        </w:rPr>
      </w:pPr>
      <w:r w:rsidRPr="00A949A3">
        <w:rPr>
          <w:sz w:val="20"/>
          <w:szCs w:val="20"/>
        </w:rPr>
        <w:t>Pilot project</w:t>
      </w:r>
    </w:p>
    <w:p w14:paraId="1C00E58D" w14:textId="45817556" w:rsidR="00FB13B8" w:rsidRDefault="00135CA9" w:rsidP="00A949A3">
      <w:pPr>
        <w:pStyle w:val="ListParagraph"/>
        <w:numPr>
          <w:ilvl w:val="1"/>
          <w:numId w:val="6"/>
        </w:numPr>
        <w:spacing w:line="240" w:lineRule="auto"/>
        <w:rPr>
          <w:sz w:val="20"/>
          <w:szCs w:val="20"/>
        </w:rPr>
      </w:pPr>
      <w:r w:rsidRPr="00A949A3">
        <w:rPr>
          <w:sz w:val="20"/>
          <w:szCs w:val="20"/>
        </w:rPr>
        <w:t>Model all the steps in the workflow from concept to maybe d</w:t>
      </w:r>
      <w:r w:rsidR="00FB13B8" w:rsidRPr="00A949A3">
        <w:rPr>
          <w:sz w:val="20"/>
          <w:szCs w:val="20"/>
        </w:rPr>
        <w:t>eploy</w:t>
      </w:r>
      <w:r w:rsidRPr="00A949A3">
        <w:rPr>
          <w:sz w:val="20"/>
          <w:szCs w:val="20"/>
        </w:rPr>
        <w:t xml:space="preserve">ment of </w:t>
      </w:r>
      <w:r w:rsidR="00FB13B8" w:rsidRPr="00A949A3">
        <w:rPr>
          <w:sz w:val="20"/>
          <w:szCs w:val="20"/>
        </w:rPr>
        <w:t>1 CPF for a short time with a potential user</w:t>
      </w:r>
    </w:p>
    <w:p w14:paraId="22B9C406" w14:textId="4E52BEB5" w:rsidR="00135CA9" w:rsidRPr="001D41E1" w:rsidRDefault="00135CA9" w:rsidP="00135CA9">
      <w:pPr>
        <w:pStyle w:val="ListParagraph"/>
        <w:numPr>
          <w:ilvl w:val="0"/>
          <w:numId w:val="4"/>
        </w:numPr>
        <w:spacing w:line="240" w:lineRule="auto"/>
        <w:rPr>
          <w:b/>
          <w:sz w:val="20"/>
          <w:szCs w:val="20"/>
        </w:rPr>
      </w:pPr>
      <w:r w:rsidRPr="001D41E1">
        <w:rPr>
          <w:b/>
          <w:sz w:val="20"/>
          <w:szCs w:val="20"/>
        </w:rPr>
        <w:t>Phase 1 deliverables</w:t>
      </w:r>
    </w:p>
    <w:p w14:paraId="418F765D" w14:textId="0855EAAD" w:rsidR="00135CA9" w:rsidRDefault="00135CA9" w:rsidP="00135CA9">
      <w:pPr>
        <w:pStyle w:val="ListParagraph"/>
        <w:numPr>
          <w:ilvl w:val="1"/>
          <w:numId w:val="4"/>
        </w:numPr>
        <w:spacing w:line="240" w:lineRule="auto"/>
        <w:rPr>
          <w:sz w:val="20"/>
          <w:szCs w:val="20"/>
        </w:rPr>
      </w:pPr>
      <w:r>
        <w:rPr>
          <w:sz w:val="20"/>
          <w:szCs w:val="20"/>
        </w:rPr>
        <w:t>Feasibility results report</w:t>
      </w:r>
    </w:p>
    <w:p w14:paraId="40746987" w14:textId="4D012FB1" w:rsidR="00135CA9" w:rsidRDefault="00135CA9" w:rsidP="00135CA9">
      <w:pPr>
        <w:pStyle w:val="ListParagraph"/>
        <w:numPr>
          <w:ilvl w:val="1"/>
          <w:numId w:val="4"/>
        </w:numPr>
        <w:spacing w:line="240" w:lineRule="auto"/>
        <w:rPr>
          <w:sz w:val="20"/>
          <w:szCs w:val="20"/>
        </w:rPr>
      </w:pPr>
      <w:r w:rsidRPr="00135CA9">
        <w:rPr>
          <w:sz w:val="20"/>
          <w:szCs w:val="20"/>
        </w:rPr>
        <w:t>OSE development plan (what we’d do in phase 2)</w:t>
      </w:r>
    </w:p>
    <w:p w14:paraId="0000004F" w14:textId="77777777" w:rsidR="00127B62" w:rsidRPr="001D41E1" w:rsidRDefault="00507BCC" w:rsidP="00135CA9">
      <w:pPr>
        <w:pStyle w:val="ListParagraph"/>
        <w:numPr>
          <w:ilvl w:val="0"/>
          <w:numId w:val="4"/>
        </w:numPr>
        <w:spacing w:line="240" w:lineRule="auto"/>
        <w:rPr>
          <w:b/>
          <w:sz w:val="20"/>
          <w:szCs w:val="20"/>
        </w:rPr>
      </w:pPr>
      <w:r w:rsidRPr="001D41E1">
        <w:rPr>
          <w:b/>
          <w:sz w:val="20"/>
          <w:szCs w:val="20"/>
        </w:rPr>
        <w:t>References</w:t>
      </w:r>
      <w:bookmarkStart w:id="1" w:name="_GoBack"/>
      <w:bookmarkEnd w:id="1"/>
    </w:p>
    <w:p w14:paraId="00000050" w14:textId="77777777" w:rsidR="00127B62" w:rsidRDefault="002F4C65">
      <w:pPr>
        <w:spacing w:line="240" w:lineRule="auto"/>
        <w:rPr>
          <w:sz w:val="20"/>
          <w:szCs w:val="20"/>
        </w:rPr>
      </w:pPr>
      <w:hyperlink r:id="rId7">
        <w:r w:rsidR="00507BCC">
          <w:rPr>
            <w:color w:val="1155CC"/>
            <w:sz w:val="20"/>
            <w:szCs w:val="20"/>
            <w:u w:val="single"/>
          </w:rPr>
          <w:t>https://globalocean.noaa.gov/</w:t>
        </w:r>
      </w:hyperlink>
    </w:p>
    <w:p w14:paraId="00000051" w14:textId="5A392B7F" w:rsidR="00127B62" w:rsidRDefault="003016CA">
      <w:pPr>
        <w:spacing w:line="240" w:lineRule="auto"/>
        <w:rPr>
          <w:sz w:val="20"/>
          <w:szCs w:val="20"/>
        </w:rPr>
      </w:pPr>
      <w:hyperlink r:id="rId8" w:history="1">
        <w:r w:rsidRPr="005B796C">
          <w:rPr>
            <w:rStyle w:val="Hyperlink"/>
            <w:sz w:val="20"/>
            <w:szCs w:val="20"/>
          </w:rPr>
          <w:t>https://esto</w:t>
        </w:r>
        <w:r w:rsidRPr="005B796C">
          <w:rPr>
            <w:rStyle w:val="Hyperlink"/>
            <w:sz w:val="20"/>
            <w:szCs w:val="20"/>
          </w:rPr>
          <w:t>.</w:t>
        </w:r>
        <w:r w:rsidRPr="005B796C">
          <w:rPr>
            <w:rStyle w:val="Hyperlink"/>
            <w:sz w:val="20"/>
            <w:szCs w:val="20"/>
          </w:rPr>
          <w:t>nasa.gov/trl/</w:t>
        </w:r>
      </w:hyperlink>
    </w:p>
    <w:p w14:paraId="00000052" w14:textId="77777777" w:rsidR="00127B62" w:rsidRDefault="002F4C65">
      <w:pPr>
        <w:spacing w:line="240" w:lineRule="auto"/>
        <w:rPr>
          <w:sz w:val="20"/>
          <w:szCs w:val="20"/>
        </w:rPr>
      </w:pPr>
      <w:hyperlink r:id="rId9">
        <w:r w:rsidR="00507BCC">
          <w:rPr>
            <w:color w:val="1155CC"/>
            <w:sz w:val="20"/>
            <w:szCs w:val="20"/>
            <w:u w:val="single"/>
          </w:rPr>
          <w:t>https://argo.ucsd.edu/</w:t>
        </w:r>
      </w:hyperlink>
    </w:p>
    <w:p w14:paraId="00000053" w14:textId="77777777" w:rsidR="00127B62" w:rsidRDefault="002F4C65">
      <w:pPr>
        <w:spacing w:line="240" w:lineRule="auto"/>
        <w:rPr>
          <w:sz w:val="20"/>
          <w:szCs w:val="20"/>
        </w:rPr>
      </w:pPr>
      <w:hyperlink r:id="rId10">
        <w:r w:rsidR="00507BCC">
          <w:rPr>
            <w:color w:val="1155CC"/>
            <w:sz w:val="20"/>
            <w:szCs w:val="20"/>
            <w:u w:val="single"/>
          </w:rPr>
          <w:t>https://soccom.princeton.edu/</w:t>
        </w:r>
      </w:hyperlink>
    </w:p>
    <w:p w14:paraId="00000054" w14:textId="77777777" w:rsidR="00127B62" w:rsidRDefault="002F4C65">
      <w:pPr>
        <w:spacing w:line="240" w:lineRule="auto"/>
        <w:rPr>
          <w:sz w:val="20"/>
          <w:szCs w:val="20"/>
        </w:rPr>
      </w:pPr>
      <w:hyperlink r:id="rId11">
        <w:r w:rsidR="00507BCC">
          <w:rPr>
            <w:color w:val="1155CC"/>
            <w:sz w:val="20"/>
            <w:szCs w:val="20"/>
            <w:u w:val="single"/>
          </w:rPr>
          <w:t>https://www.go-bgc.org/</w:t>
        </w:r>
      </w:hyperlink>
    </w:p>
    <w:bookmarkStart w:id="2" w:name="_heading=h.gjdgxs" w:colFirst="0" w:colLast="0"/>
    <w:bookmarkEnd w:id="2"/>
    <w:p w14:paraId="00000055" w14:textId="77777777" w:rsidR="00127B62" w:rsidRDefault="00507BCC">
      <w:pPr>
        <w:spacing w:line="240" w:lineRule="auto"/>
        <w:rPr>
          <w:sz w:val="20"/>
          <w:szCs w:val="20"/>
        </w:rPr>
      </w:pPr>
      <w:r>
        <w:fldChar w:fldCharType="begin"/>
      </w:r>
      <w:r>
        <w:instrText xml:space="preserve"> HYPERLINK "https://www.pmel.noaa.gov/co2/story/Carbon+Cycle+Science+Plan" \h </w:instrText>
      </w:r>
      <w:r>
        <w:fldChar w:fldCharType="separate"/>
      </w:r>
      <w:r>
        <w:rPr>
          <w:color w:val="1155CC"/>
          <w:sz w:val="20"/>
          <w:szCs w:val="20"/>
          <w:u w:val="single"/>
        </w:rPr>
        <w:t>https://www.pmel.noaa.gov/co2/story/Carbon+Cycle+Science+Plan</w:t>
      </w:r>
      <w:r>
        <w:rPr>
          <w:color w:val="1155CC"/>
          <w:sz w:val="20"/>
          <w:szCs w:val="20"/>
          <w:u w:val="single"/>
        </w:rPr>
        <w:fldChar w:fldCharType="end"/>
      </w:r>
    </w:p>
    <w:p w14:paraId="00000056" w14:textId="77777777" w:rsidR="00127B62" w:rsidRDefault="002F4C65">
      <w:pPr>
        <w:spacing w:line="240" w:lineRule="auto"/>
        <w:rPr>
          <w:sz w:val="20"/>
          <w:szCs w:val="20"/>
        </w:rPr>
      </w:pPr>
      <w:hyperlink r:id="rId12">
        <w:r w:rsidR="00507BCC">
          <w:rPr>
            <w:color w:val="1155CC"/>
            <w:sz w:val="20"/>
            <w:szCs w:val="20"/>
            <w:u w:val="single"/>
          </w:rPr>
          <w:t>https://www.carboncyclescience.us/carbon-planning</w:t>
        </w:r>
      </w:hyperlink>
    </w:p>
    <w:p w14:paraId="00000057" w14:textId="77777777" w:rsidR="00127B62" w:rsidRDefault="002F4C65">
      <w:pPr>
        <w:spacing w:line="240" w:lineRule="auto"/>
        <w:rPr>
          <w:sz w:val="20"/>
          <w:szCs w:val="20"/>
        </w:rPr>
      </w:pPr>
      <w:hyperlink r:id="rId13">
        <w:r w:rsidR="00507BCC">
          <w:rPr>
            <w:color w:val="1155CC"/>
            <w:sz w:val="20"/>
            <w:szCs w:val="20"/>
            <w:u w:val="single"/>
          </w:rPr>
          <w:t>https://www.us-ocb.org/publications/scientific-planning-documents/</w:t>
        </w:r>
      </w:hyperlink>
    </w:p>
    <w:p w14:paraId="00000058" w14:textId="77777777" w:rsidR="00127B62" w:rsidRDefault="002F4C65">
      <w:pPr>
        <w:spacing w:line="240" w:lineRule="auto"/>
        <w:rPr>
          <w:sz w:val="20"/>
          <w:szCs w:val="20"/>
        </w:rPr>
      </w:pPr>
      <w:hyperlink r:id="rId14">
        <w:r w:rsidR="00507BCC">
          <w:rPr>
            <w:color w:val="1155CC"/>
            <w:sz w:val="20"/>
            <w:szCs w:val="20"/>
            <w:u w:val="single"/>
          </w:rPr>
          <w:t>https://www.annualreviews.org/doi/10.1146/annurev-marine-022521-102008</w:t>
        </w:r>
      </w:hyperlink>
    </w:p>
    <w:p w14:paraId="00000059" w14:textId="77777777" w:rsidR="00127B62" w:rsidRDefault="002F4C65">
      <w:pPr>
        <w:spacing w:line="240" w:lineRule="auto"/>
        <w:rPr>
          <w:sz w:val="20"/>
          <w:szCs w:val="20"/>
        </w:rPr>
      </w:pPr>
      <w:hyperlink r:id="rId15">
        <w:r w:rsidR="00507BCC">
          <w:rPr>
            <w:color w:val="0563C1"/>
            <w:sz w:val="20"/>
            <w:szCs w:val="20"/>
            <w:u w:val="single"/>
          </w:rPr>
          <w:t>https://www.planetindonesia.org/news/2022/3/29/dispersing-seeds-of-impact-announcing-new-partnerships-between-kalimantan-and-sulawesi</w:t>
        </w:r>
      </w:hyperlink>
    </w:p>
    <w:p w14:paraId="0000005A" w14:textId="77777777" w:rsidR="00127B62" w:rsidRDefault="002F4C65">
      <w:pPr>
        <w:spacing w:line="240" w:lineRule="auto"/>
        <w:rPr>
          <w:sz w:val="20"/>
          <w:szCs w:val="20"/>
        </w:rPr>
      </w:pPr>
      <w:hyperlink r:id="rId16">
        <w:r w:rsidR="00507BCC">
          <w:rPr>
            <w:color w:val="0563C1"/>
            <w:sz w:val="20"/>
            <w:szCs w:val="20"/>
            <w:u w:val="single"/>
          </w:rPr>
          <w:t>https://www.dakshin.org/about-us/</w:t>
        </w:r>
      </w:hyperlink>
    </w:p>
    <w:p w14:paraId="0000005B" w14:textId="77777777" w:rsidR="00127B62" w:rsidRDefault="002F4C65">
      <w:pPr>
        <w:spacing w:line="240" w:lineRule="auto"/>
        <w:rPr>
          <w:sz w:val="20"/>
          <w:szCs w:val="20"/>
        </w:rPr>
      </w:pPr>
      <w:hyperlink r:id="rId17">
        <w:r w:rsidR="00507BCC">
          <w:rPr>
            <w:color w:val="0563C1"/>
            <w:sz w:val="20"/>
            <w:szCs w:val="20"/>
            <w:u w:val="single"/>
          </w:rPr>
          <w:t>https://www.comred.or.ke/story</w:t>
        </w:r>
      </w:hyperlink>
    </w:p>
    <w:p w14:paraId="0000005C" w14:textId="77777777" w:rsidR="00127B62" w:rsidRDefault="002F4C65">
      <w:pPr>
        <w:spacing w:line="240" w:lineRule="auto"/>
        <w:rPr>
          <w:sz w:val="20"/>
          <w:szCs w:val="20"/>
        </w:rPr>
      </w:pPr>
      <w:hyperlink r:id="rId18">
        <w:r w:rsidR="00507BCC">
          <w:rPr>
            <w:color w:val="0563C1"/>
            <w:sz w:val="20"/>
            <w:szCs w:val="20"/>
            <w:u w:val="single"/>
          </w:rPr>
          <w:t>https://www.akmarine.org/</w:t>
        </w:r>
      </w:hyperlink>
    </w:p>
    <w:p w14:paraId="0000005D" w14:textId="77777777" w:rsidR="00127B62" w:rsidRDefault="002F4C65">
      <w:pPr>
        <w:spacing w:line="240" w:lineRule="auto"/>
        <w:rPr>
          <w:sz w:val="20"/>
          <w:szCs w:val="20"/>
        </w:rPr>
      </w:pPr>
      <w:hyperlink r:id="rId19">
        <w:r w:rsidR="00507BCC">
          <w:rPr>
            <w:color w:val="0563C1"/>
            <w:sz w:val="20"/>
            <w:szCs w:val="20"/>
            <w:u w:val="single"/>
          </w:rPr>
          <w:t>https://www.ncei.noaa.gov/products/world-ocean-atlas</w:t>
        </w:r>
      </w:hyperlink>
    </w:p>
    <w:p w14:paraId="0000005E" w14:textId="77777777" w:rsidR="00127B62" w:rsidRDefault="002F4C65">
      <w:pPr>
        <w:spacing w:line="240" w:lineRule="auto"/>
        <w:rPr>
          <w:sz w:val="20"/>
          <w:szCs w:val="20"/>
        </w:rPr>
      </w:pPr>
      <w:hyperlink r:id="rId20">
        <w:r w:rsidR="00507BCC">
          <w:rPr>
            <w:color w:val="1155CC"/>
            <w:sz w:val="20"/>
            <w:szCs w:val="20"/>
            <w:u w:val="single"/>
          </w:rPr>
          <w:t>https://www.frontiersin.org/articles/10.3389/fmars.2020.00700/full</w:t>
        </w:r>
      </w:hyperlink>
    </w:p>
    <w:p w14:paraId="2DD44B78" w14:textId="77777777" w:rsidR="000F7D1A" w:rsidRDefault="002F4C65" w:rsidP="000F7D1A">
      <w:pPr>
        <w:spacing w:line="240" w:lineRule="auto"/>
        <w:rPr>
          <w:color w:val="1155CC"/>
          <w:sz w:val="20"/>
          <w:szCs w:val="20"/>
          <w:u w:val="single"/>
        </w:rPr>
      </w:pPr>
      <w:hyperlink r:id="rId21">
        <w:r w:rsidR="00507BCC">
          <w:rPr>
            <w:color w:val="1155CC"/>
            <w:sz w:val="20"/>
            <w:szCs w:val="20"/>
            <w:u w:val="single"/>
          </w:rPr>
          <w:t>https://agupubs.onlinelibrary.wiley.com/doi/10.1002/2017JC013419</w:t>
        </w:r>
      </w:hyperlink>
    </w:p>
    <w:p w14:paraId="3A280192" w14:textId="00E00960" w:rsidR="00E37292" w:rsidRPr="00E37292" w:rsidRDefault="00507BCC" w:rsidP="000F7D1A">
      <w:pPr>
        <w:spacing w:line="240" w:lineRule="auto"/>
      </w:pPr>
      <w:r>
        <w:rPr>
          <w:rFonts w:ascii="Helvetica Neue" w:eastAsia="Helvetica Neue" w:hAnsi="Helvetica Neue" w:cs="Helvetica Neue"/>
          <w:color w:val="333333"/>
          <w:sz w:val="21"/>
          <w:szCs w:val="21"/>
        </w:rPr>
        <w:t>Erin Meyer‐</w:t>
      </w:r>
      <w:proofErr w:type="spellStart"/>
      <w:r>
        <w:rPr>
          <w:rFonts w:ascii="Helvetica Neue" w:eastAsia="Helvetica Neue" w:hAnsi="Helvetica Neue" w:cs="Helvetica Neue"/>
          <w:color w:val="333333"/>
          <w:sz w:val="21"/>
          <w:szCs w:val="21"/>
        </w:rPr>
        <w:t>Gutbrod</w:t>
      </w:r>
      <w:proofErr w:type="spellEnd"/>
      <w:r>
        <w:rPr>
          <w:rFonts w:ascii="Helvetica Neue" w:eastAsia="Helvetica Neue" w:hAnsi="Helvetica Neue" w:cs="Helvetica Neue"/>
          <w:color w:val="333333"/>
          <w:sz w:val="21"/>
          <w:szCs w:val="21"/>
        </w:rPr>
        <w:t xml:space="preserve">, Li </w:t>
      </w:r>
      <w:proofErr w:type="spellStart"/>
      <w:r>
        <w:rPr>
          <w:rFonts w:ascii="Helvetica Neue" w:eastAsia="Helvetica Neue" w:hAnsi="Helvetica Neue" w:cs="Helvetica Neue"/>
          <w:color w:val="333333"/>
          <w:sz w:val="21"/>
          <w:szCs w:val="21"/>
        </w:rPr>
        <w:t>Kui</w:t>
      </w:r>
      <w:proofErr w:type="spellEnd"/>
      <w:r>
        <w:rPr>
          <w:rFonts w:ascii="Helvetica Neue" w:eastAsia="Helvetica Neue" w:hAnsi="Helvetica Neue" w:cs="Helvetica Neue"/>
          <w:color w:val="333333"/>
          <w:sz w:val="21"/>
          <w:szCs w:val="21"/>
        </w:rPr>
        <w:t xml:space="preserve">, Robert Miller, Mary Nishimoto, Linda Snook, Milton Love. </w:t>
      </w:r>
      <w:r>
        <w:rPr>
          <w:rFonts w:ascii="Helvetica Neue" w:eastAsia="Helvetica Neue" w:hAnsi="Helvetica Neue" w:cs="Helvetica Neue"/>
          <w:b/>
          <w:color w:val="333333"/>
          <w:sz w:val="21"/>
          <w:szCs w:val="21"/>
        </w:rPr>
        <w:t>Moving on up: Vertical distribution shifts in rocky reef fish species during climate‐driven decline in dissolved oxygen from 1995 to 2009</w:t>
      </w:r>
      <w:r>
        <w:rPr>
          <w:rFonts w:ascii="Helvetica Neue" w:eastAsia="Helvetica Neue" w:hAnsi="Helvetica Neue" w:cs="Helvetica Neue"/>
          <w:color w:val="333333"/>
          <w:sz w:val="21"/>
          <w:szCs w:val="21"/>
        </w:rPr>
        <w:t xml:space="preserve">. </w:t>
      </w:r>
      <w:r>
        <w:rPr>
          <w:rFonts w:ascii="Helvetica Neue" w:eastAsia="Helvetica Neue" w:hAnsi="Helvetica Neue" w:cs="Helvetica Neue"/>
          <w:i/>
          <w:color w:val="333333"/>
          <w:sz w:val="21"/>
          <w:szCs w:val="21"/>
        </w:rPr>
        <w:t>Global Change Biology</w:t>
      </w:r>
      <w:r>
        <w:rPr>
          <w:rFonts w:ascii="Helvetica Neue" w:eastAsia="Helvetica Neue" w:hAnsi="Helvetica Neue" w:cs="Helvetica Neue"/>
          <w:color w:val="333333"/>
          <w:sz w:val="21"/>
          <w:szCs w:val="21"/>
        </w:rPr>
        <w:t xml:space="preserve">, 2021; DOI: </w:t>
      </w:r>
      <w:hyperlink r:id="rId22">
        <w:r>
          <w:rPr>
            <w:rFonts w:ascii="Helvetica Neue" w:eastAsia="Helvetica Neue" w:hAnsi="Helvetica Neue" w:cs="Helvetica Neue"/>
            <w:color w:val="004276"/>
            <w:sz w:val="21"/>
            <w:szCs w:val="21"/>
          </w:rPr>
          <w:t>10.1111/gcb.15821</w:t>
        </w:r>
      </w:hyperlink>
    </w:p>
    <w:p w14:paraId="38B9A887" w14:textId="44009988" w:rsidR="00E37292" w:rsidRDefault="00E37292" w:rsidP="00E37292">
      <w:pPr>
        <w:shd w:val="clear" w:color="auto" w:fill="FFFFFF"/>
        <w:spacing w:after="0" w:line="240" w:lineRule="auto"/>
      </w:pPr>
      <w:hyperlink r:id="rId23" w:history="1">
        <w:r w:rsidRPr="005B796C">
          <w:rPr>
            <w:rStyle w:val="Hyperlink"/>
          </w:rPr>
          <w:t>https://www.mbari.org/project/canon/</w:t>
        </w:r>
      </w:hyperlink>
    </w:p>
    <w:p w14:paraId="409F76A1" w14:textId="15BF459C" w:rsidR="008F27BC" w:rsidRDefault="008F27BC" w:rsidP="00E37292">
      <w:pPr>
        <w:shd w:val="clear" w:color="auto" w:fill="FFFFFF"/>
        <w:spacing w:after="0" w:line="240" w:lineRule="auto"/>
      </w:pPr>
      <w:hyperlink r:id="rId24" w:history="1">
        <w:r w:rsidRPr="00D12AB6">
          <w:rPr>
            <w:rStyle w:val="Hyperlink"/>
          </w:rPr>
          <w:t>https://archimer.ifremer.fr/doc/00460/57195/</w:t>
        </w:r>
      </w:hyperlink>
    </w:p>
    <w:p w14:paraId="263C4358" w14:textId="536B8587" w:rsidR="000F7D1A" w:rsidRDefault="000F7D1A" w:rsidP="00E37292">
      <w:pPr>
        <w:shd w:val="clear" w:color="auto" w:fill="FFFFFF"/>
        <w:spacing w:after="0" w:line="240" w:lineRule="auto"/>
      </w:pPr>
      <w:hyperlink r:id="rId25" w:history="1">
        <w:r w:rsidRPr="00D12AB6">
          <w:rPr>
            <w:rStyle w:val="Hyperlink"/>
          </w:rPr>
          <w:t>https://coastalfisheries.org/</w:t>
        </w:r>
      </w:hyperlink>
    </w:p>
    <w:p w14:paraId="771282C6" w14:textId="77777777" w:rsidR="000F7D1A" w:rsidRDefault="000F7D1A" w:rsidP="00E37292">
      <w:pPr>
        <w:shd w:val="clear" w:color="auto" w:fill="FFFFFF"/>
        <w:spacing w:after="0" w:line="240" w:lineRule="auto"/>
      </w:pPr>
    </w:p>
    <w:p w14:paraId="28EFAD93" w14:textId="77777777" w:rsidR="008F27BC" w:rsidRDefault="008F27BC" w:rsidP="00E37292">
      <w:pPr>
        <w:shd w:val="clear" w:color="auto" w:fill="FFFFFF"/>
        <w:spacing w:after="0" w:line="240" w:lineRule="auto"/>
      </w:pPr>
    </w:p>
    <w:p w14:paraId="0C3DEA91" w14:textId="77777777" w:rsidR="00E37292" w:rsidRDefault="00E37292" w:rsidP="00E37292">
      <w:pPr>
        <w:shd w:val="clear" w:color="auto" w:fill="FFFFFF"/>
        <w:spacing w:after="0" w:line="240" w:lineRule="auto"/>
      </w:pPr>
    </w:p>
    <w:p w14:paraId="00000061" w14:textId="77777777" w:rsidR="00127B62" w:rsidRDefault="00127B62">
      <w:pPr>
        <w:spacing w:line="240" w:lineRule="auto"/>
        <w:rPr>
          <w:sz w:val="20"/>
          <w:szCs w:val="20"/>
        </w:rPr>
      </w:pPr>
    </w:p>
    <w:p w14:paraId="00000062" w14:textId="77777777" w:rsidR="00127B62" w:rsidRDefault="00127B62">
      <w:pPr>
        <w:spacing w:line="240" w:lineRule="auto"/>
        <w:rPr>
          <w:sz w:val="20"/>
          <w:szCs w:val="20"/>
        </w:rPr>
      </w:pPr>
    </w:p>
    <w:p w14:paraId="00000063" w14:textId="77777777" w:rsidR="00127B62" w:rsidRDefault="00127B62">
      <w:pPr>
        <w:spacing w:line="240" w:lineRule="auto"/>
        <w:rPr>
          <w:sz w:val="20"/>
          <w:szCs w:val="20"/>
        </w:rPr>
      </w:pPr>
    </w:p>
    <w:p w14:paraId="00000064" w14:textId="77777777" w:rsidR="00127B62" w:rsidRDefault="00507BCC">
      <w:pPr>
        <w:spacing w:line="240" w:lineRule="auto"/>
        <w:rPr>
          <w:sz w:val="20"/>
          <w:szCs w:val="20"/>
        </w:rPr>
      </w:pPr>
      <w:r>
        <w:rPr>
          <w:sz w:val="20"/>
          <w:szCs w:val="20"/>
        </w:rPr>
        <w:t>Additional material</w:t>
      </w:r>
    </w:p>
    <w:p w14:paraId="00000065" w14:textId="77777777" w:rsidR="00127B62" w:rsidRDefault="00127B62">
      <w:pPr>
        <w:spacing w:after="0" w:line="240" w:lineRule="auto"/>
        <w:rPr>
          <w:sz w:val="20"/>
          <w:szCs w:val="20"/>
        </w:rPr>
      </w:pPr>
    </w:p>
    <w:p w14:paraId="00000066" w14:textId="77777777" w:rsidR="00127B62" w:rsidRDefault="00507BCC">
      <w:pPr>
        <w:spacing w:after="0" w:line="240" w:lineRule="auto"/>
        <w:rPr>
          <w:sz w:val="20"/>
          <w:szCs w:val="20"/>
        </w:rPr>
      </w:pPr>
      <w:r>
        <w:rPr>
          <w:sz w:val="20"/>
          <w:szCs w:val="20"/>
        </w:rPr>
        <w:t xml:space="preserve">Ocean observations have informed weather forecasts, climate predictions, fisheries management and have shown us how the oceans are changing over time. These observing systems are based on sensor and platform technologies generally developed in oceanographic research labs.  Several of these sensor and platform technologies have been turned into commercial products by industrial partners.  Based on our </w:t>
      </w:r>
      <w:proofErr w:type="gramStart"/>
      <w:r>
        <w:rPr>
          <w:sz w:val="20"/>
          <w:szCs w:val="20"/>
        </w:rPr>
        <w:t>experience,  this</w:t>
      </w:r>
      <w:proofErr w:type="gramEnd"/>
      <w:r>
        <w:rPr>
          <w:sz w:val="20"/>
          <w:szCs w:val="20"/>
        </w:rPr>
        <w:t xml:space="preserve"> commercialization process has achieved limited success.  For example, the commercial products do not improve functionality past what was developed in the research labs, the reliability of the products is significantly worse than the same products built by the research labs, the cost of the product seems to be out of line with what the cost or material, parts, manufacturing, test and a reasonable profit would suggest.  to achieve the production scales required by programs like Argo. Moving technology from the research lab to industrial partners requires leaping the so-called “technology valley of death”.  Problems associated with making this leap include 1) ocean observing systems barely generate the sales quantities required to sustain a commercial product, 2) The commercial cost of products based on technology developed in a research lab can be unrelated to the actual cost of manufacturing the product and can actually be unaffordable to the research groups who originally developed the technology. 3) The performance and functionality of the technology doesn’t improve after the transfer to industry. </w:t>
      </w:r>
    </w:p>
    <w:p w14:paraId="00000067" w14:textId="77777777" w:rsidR="00127B62" w:rsidRDefault="00127B62">
      <w:pPr>
        <w:spacing w:after="0" w:line="240" w:lineRule="auto"/>
        <w:rPr>
          <w:sz w:val="20"/>
          <w:szCs w:val="20"/>
        </w:rPr>
      </w:pPr>
    </w:p>
    <w:p w14:paraId="00000068" w14:textId="77777777" w:rsidR="00127B62" w:rsidRDefault="00507BCC">
      <w:pPr>
        <w:spacing w:after="0" w:line="240" w:lineRule="auto"/>
        <w:rPr>
          <w:sz w:val="20"/>
          <w:szCs w:val="20"/>
        </w:rPr>
      </w:pPr>
      <w:r>
        <w:rPr>
          <w:sz w:val="20"/>
          <w:szCs w:val="20"/>
        </w:rPr>
        <w:t xml:space="preserve">Existing profiling floats have been optimized to work in deep water. In fact, most profiling floats are operated in a manner that avoids shallow water.  However, the coastal zone of the world’s oceans </w:t>
      </w:r>
      <w:proofErr w:type="gramStart"/>
      <w:r>
        <w:rPr>
          <w:sz w:val="20"/>
          <w:szCs w:val="20"/>
        </w:rPr>
        <w:t>are</w:t>
      </w:r>
      <w:proofErr w:type="gramEnd"/>
      <w:r>
        <w:rPr>
          <w:sz w:val="20"/>
          <w:szCs w:val="20"/>
        </w:rPr>
        <w:t xml:space="preserve"> critical to ocean health.  The coastal zone contributes half of the global new primary production even though they comprise only 5 to 10 % of ocean area (</w:t>
      </w:r>
      <w:proofErr w:type="spellStart"/>
      <w:r>
        <w:rPr>
          <w:sz w:val="20"/>
          <w:szCs w:val="20"/>
        </w:rPr>
        <w:t>Benway</w:t>
      </w:r>
      <w:proofErr w:type="spellEnd"/>
      <w:r>
        <w:rPr>
          <w:sz w:val="20"/>
          <w:szCs w:val="20"/>
        </w:rPr>
        <w:t xml:space="preserve"> et al., 2015).  Variability in this new primary production can be a major control on air-sea CO2 flux (Evans et al., 2015).  The disproportionately high new primary production in coastal systems supports the vast majority of global fish production (</w:t>
      </w:r>
      <w:proofErr w:type="spellStart"/>
      <w:r>
        <w:rPr>
          <w:sz w:val="20"/>
          <w:szCs w:val="20"/>
        </w:rPr>
        <w:t>Ryther</w:t>
      </w:r>
      <w:proofErr w:type="spellEnd"/>
      <w:r>
        <w:rPr>
          <w:sz w:val="20"/>
          <w:szCs w:val="20"/>
        </w:rPr>
        <w:t>, 1969). MBARI has developed and is deploying a Coastal Profiling Float</w:t>
      </w:r>
      <w:r>
        <w:rPr>
          <w:sz w:val="20"/>
          <w:szCs w:val="20"/>
          <w:vertAlign w:val="superscript"/>
        </w:rPr>
        <w:t>4</w:t>
      </w:r>
      <w:r>
        <w:rPr>
          <w:sz w:val="20"/>
          <w:szCs w:val="20"/>
        </w:rPr>
        <w:t xml:space="preserve"> (CPF) optimized to work in the coastal zone and upper 350 meters of the world’s oceans. The CPF supports a comprehensive biogeochemical instrument suite</w:t>
      </w:r>
      <w:r>
        <w:rPr>
          <w:sz w:val="20"/>
          <w:szCs w:val="20"/>
          <w:vertAlign w:val="superscript"/>
        </w:rPr>
        <w:t xml:space="preserve">5 </w:t>
      </w:r>
      <w:r>
        <w:rPr>
          <w:sz w:val="20"/>
          <w:szCs w:val="20"/>
        </w:rPr>
        <w:t>in order to start developing a synoptic understanding of ocean health. The end goal of MBARI’s work is to provide the same kind of sustainable ocean observing system currently used in the deep zones of the world’s oceans to the critical, societally relevant research issues in the shallower zones of the world’s oceans.</w:t>
      </w:r>
    </w:p>
    <w:p w14:paraId="00000069" w14:textId="77777777" w:rsidR="00127B62" w:rsidRDefault="00507BCC">
      <w:pPr>
        <w:spacing w:after="0" w:line="240" w:lineRule="auto"/>
        <w:rPr>
          <w:sz w:val="20"/>
          <w:szCs w:val="20"/>
        </w:rPr>
      </w:pPr>
      <w:r>
        <w:rPr>
          <w:sz w:val="20"/>
          <w:szCs w:val="20"/>
        </w:rPr>
        <w:br/>
      </w:r>
    </w:p>
    <w:p w14:paraId="0000006A" w14:textId="77777777" w:rsidR="00127B62" w:rsidRDefault="00507BCC">
      <w:pPr>
        <w:spacing w:after="0" w:line="240" w:lineRule="auto"/>
        <w:rPr>
          <w:i/>
          <w:sz w:val="20"/>
          <w:szCs w:val="20"/>
        </w:rPr>
      </w:pPr>
      <w:r>
        <w:rPr>
          <w:sz w:val="20"/>
          <w:szCs w:val="20"/>
        </w:rPr>
        <w:t xml:space="preserve">from a technical readiness level (TRL) of 7-8 to TRL 9.  5move </w:t>
      </w:r>
      <w:proofErr w:type="spellStart"/>
      <w:r>
        <w:rPr>
          <w:sz w:val="20"/>
          <w:szCs w:val="20"/>
        </w:rPr>
        <w:t>theThe</w:t>
      </w:r>
      <w:proofErr w:type="spellEnd"/>
      <w:r>
        <w:rPr>
          <w:sz w:val="20"/>
          <w:szCs w:val="20"/>
        </w:rPr>
        <w:t xml:space="preserve"> Ocean Biogeochemistry (BGC) community has identified a set of essential </w:t>
      </w:r>
      <w:proofErr w:type="gramStart"/>
      <w:r>
        <w:rPr>
          <w:sz w:val="20"/>
          <w:szCs w:val="20"/>
        </w:rPr>
        <w:t>ocean</w:t>
      </w:r>
      <w:proofErr w:type="gramEnd"/>
      <w:r>
        <w:rPr>
          <w:sz w:val="20"/>
          <w:szCs w:val="20"/>
        </w:rPr>
        <w:t xml:space="preserve"> variables</w:t>
      </w:r>
      <w:r>
        <w:rPr>
          <w:sz w:val="20"/>
          <w:szCs w:val="20"/>
          <w:vertAlign w:val="superscript"/>
        </w:rPr>
        <w:t>6</w:t>
      </w:r>
      <w:r>
        <w:rPr>
          <w:sz w:val="20"/>
          <w:szCs w:val="20"/>
        </w:rPr>
        <w:t xml:space="preserve"> that can be used to </w:t>
      </w:r>
      <w:proofErr w:type="spellStart"/>
      <w:r>
        <w:rPr>
          <w:sz w:val="20"/>
          <w:szCs w:val="20"/>
        </w:rPr>
        <w:t>to</w:t>
      </w:r>
      <w:proofErr w:type="spellEnd"/>
      <w:r>
        <w:rPr>
          <w:sz w:val="20"/>
          <w:szCs w:val="20"/>
        </w:rPr>
        <w:t xml:space="preserve"> assess ocean </w:t>
      </w:r>
      <w:proofErr w:type="spellStart"/>
      <w:r>
        <w:rPr>
          <w:sz w:val="20"/>
          <w:szCs w:val="20"/>
        </w:rPr>
        <w:t>ocean</w:t>
      </w:r>
      <w:proofErr w:type="spellEnd"/>
      <w:r>
        <w:rPr>
          <w:sz w:val="20"/>
          <w:szCs w:val="20"/>
        </w:rPr>
        <w:t xml:space="preserve"> health including salinity, temperature, depth, oxygen, pH, nitrate (a basic ocean nutrient), chlorophyll, turbidity and optical radiation.  The CPF supports sensors measuring all these variables and operates from the seafloor to the surface at depths up to 350 meters.  The expected mission life for the CPF is 100 profiles over a 1 year before the batteries need to be recharged. An equally important part of the existing observing system is a data processing workflow that turns raw sensor data into defensible, </w:t>
      </w:r>
      <w:proofErr w:type="gramStart"/>
      <w:r>
        <w:rPr>
          <w:sz w:val="20"/>
          <w:szCs w:val="20"/>
        </w:rPr>
        <w:t>quality controlled</w:t>
      </w:r>
      <w:proofErr w:type="gramEnd"/>
      <w:r>
        <w:rPr>
          <w:sz w:val="20"/>
          <w:szCs w:val="20"/>
        </w:rPr>
        <w:t xml:space="preserve"> data products. The software tools used in this process are currently freely available on the MBARI </w:t>
      </w:r>
      <w:proofErr w:type="spellStart"/>
      <w:r>
        <w:rPr>
          <w:sz w:val="20"/>
          <w:szCs w:val="20"/>
        </w:rPr>
        <w:t>github</w:t>
      </w:r>
      <w:proofErr w:type="spellEnd"/>
      <w:r>
        <w:rPr>
          <w:sz w:val="20"/>
          <w:szCs w:val="20"/>
        </w:rPr>
        <w:t xml:space="preserve"> page and a publicly accessible data portal is under development.</w:t>
      </w:r>
    </w:p>
    <w:p w14:paraId="0000006B" w14:textId="77777777" w:rsidR="00127B62" w:rsidRDefault="00507BCC">
      <w:pPr>
        <w:spacing w:line="240" w:lineRule="auto"/>
        <w:rPr>
          <w:sz w:val="20"/>
          <w:szCs w:val="20"/>
        </w:rPr>
      </w:pPr>
      <w:r>
        <w:rPr>
          <w:sz w:val="20"/>
          <w:szCs w:val="20"/>
        </w:rPr>
        <w:t xml:space="preserve">We have a web based, publicly available data portal that allows raw and processed data to be visualized and downloaded for a wide range of profiling float data (figure 2, </w:t>
      </w:r>
      <w:hyperlink r:id="rId26">
        <w:r>
          <w:rPr>
            <w:color w:val="1155CC"/>
            <w:sz w:val="20"/>
            <w:szCs w:val="20"/>
            <w:u w:val="single"/>
          </w:rPr>
          <w:t>https://www.mbari.org/data/ocean-float-data/</w:t>
        </w:r>
      </w:hyperlink>
      <w:r>
        <w:rPr>
          <w:sz w:val="20"/>
          <w:szCs w:val="20"/>
        </w:rPr>
        <w:t xml:space="preserve">).  We have ported a version of this that integrates coastal profiling float data for internal purposes.  Making this data portal available </w:t>
      </w:r>
      <w:proofErr w:type="gramStart"/>
      <w:r>
        <w:rPr>
          <w:sz w:val="20"/>
          <w:szCs w:val="20"/>
        </w:rPr>
        <w:t>16.Raw</w:t>
      </w:r>
      <w:proofErr w:type="gramEnd"/>
      <w:r>
        <w:rPr>
          <w:sz w:val="20"/>
          <w:szCs w:val="20"/>
        </w:rPr>
        <w:t xml:space="preserve"> data should be publicly available within a short time frame, days to week.  Processing raw data into data products can be a timely process but any data products should be publicly available weeks to a few months after they are generated from the raw data. </w:t>
      </w:r>
    </w:p>
    <w:p w14:paraId="0000006C" w14:textId="77777777" w:rsidR="00127B62" w:rsidRDefault="00507BCC">
      <w:pPr>
        <w:rPr>
          <w:sz w:val="20"/>
          <w:szCs w:val="20"/>
        </w:rPr>
      </w:pPr>
      <w:r>
        <w:rPr>
          <w:sz w:val="20"/>
          <w:szCs w:val="20"/>
        </w:rPr>
        <w:br/>
      </w:r>
      <w:r>
        <w:rPr>
          <w:sz w:val="20"/>
          <w:szCs w:val="20"/>
        </w:rPr>
        <w:br/>
      </w:r>
      <w:r>
        <w:rPr>
          <w:sz w:val="20"/>
          <w:szCs w:val="20"/>
        </w:rPr>
        <w:br/>
      </w:r>
      <w:r>
        <w:rPr>
          <w:sz w:val="20"/>
          <w:szCs w:val="20"/>
        </w:rPr>
        <w:lastRenderedPageBreak/>
        <w:br/>
      </w:r>
    </w:p>
    <w:sectPr w:rsidR="00127B6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924B6"/>
    <w:multiLevelType w:val="hybridMultilevel"/>
    <w:tmpl w:val="366C5E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B82CB6"/>
    <w:multiLevelType w:val="hybridMultilevel"/>
    <w:tmpl w:val="B120CB34"/>
    <w:lvl w:ilvl="0" w:tplc="264201C8">
      <w:start w:val="1"/>
      <w:numFmt w:val="decimal"/>
      <w:lvlText w:val="%1."/>
      <w:lvlJc w:val="left"/>
      <w:pPr>
        <w:ind w:left="1152" w:hanging="360"/>
      </w:pPr>
      <w:rPr>
        <w:rFonts w:hint="default"/>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21CF4CE2"/>
    <w:multiLevelType w:val="multilevel"/>
    <w:tmpl w:val="7E2E15E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0D51EC9"/>
    <w:multiLevelType w:val="hybridMultilevel"/>
    <w:tmpl w:val="59C447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F911B2"/>
    <w:multiLevelType w:val="multilevel"/>
    <w:tmpl w:val="1DF23614"/>
    <w:lvl w:ilvl="0">
      <w:start w:val="1"/>
      <w:numFmt w:val="decimal"/>
      <w:lvlText w:val="%1."/>
      <w:lvlJc w:val="left"/>
      <w:pPr>
        <w:ind w:left="720" w:hanging="360"/>
      </w:pPr>
      <w:rPr>
        <w:rFonts w:ascii="Helvetica Neue" w:eastAsia="Helvetica Neue" w:hAnsi="Helvetica Neue" w:cs="Helvetica Neue"/>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4"/>
  </w:num>
  <w:num w:numId="2">
    <w:abstractNumId w:val="3"/>
  </w:num>
  <w:num w:numId="3">
    <w:abstractNumId w:val="0"/>
  </w:num>
  <w:num w:numId="4">
    <w:abstractNumId w:val="2"/>
  </w:num>
  <w:num w:numId="5">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B62"/>
    <w:rsid w:val="00050587"/>
    <w:rsid w:val="000F7D1A"/>
    <w:rsid w:val="00127B62"/>
    <w:rsid w:val="00135CA9"/>
    <w:rsid w:val="001C1D2E"/>
    <w:rsid w:val="001D41E1"/>
    <w:rsid w:val="00216C2B"/>
    <w:rsid w:val="002E0FD2"/>
    <w:rsid w:val="003016CA"/>
    <w:rsid w:val="003508AA"/>
    <w:rsid w:val="00390A5A"/>
    <w:rsid w:val="00507BCC"/>
    <w:rsid w:val="005D3151"/>
    <w:rsid w:val="005F64B4"/>
    <w:rsid w:val="00611D10"/>
    <w:rsid w:val="00676E4C"/>
    <w:rsid w:val="008F27BC"/>
    <w:rsid w:val="009E4125"/>
    <w:rsid w:val="00A949A3"/>
    <w:rsid w:val="00AD3C9B"/>
    <w:rsid w:val="00B16914"/>
    <w:rsid w:val="00B62E3A"/>
    <w:rsid w:val="00C53242"/>
    <w:rsid w:val="00DF04D1"/>
    <w:rsid w:val="00E37292"/>
    <w:rsid w:val="00E43E44"/>
    <w:rsid w:val="00F215BE"/>
    <w:rsid w:val="00FA64A1"/>
    <w:rsid w:val="00FB1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6C722"/>
  <w15:docId w15:val="{6157D898-1C88-46AE-B969-B8900DB9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171E8"/>
    <w:pPr>
      <w:ind w:left="720"/>
      <w:contextualSpacing/>
    </w:pPr>
  </w:style>
  <w:style w:type="character" w:styleId="Hyperlink">
    <w:name w:val="Hyperlink"/>
    <w:basedOn w:val="DefaultParagraphFont"/>
    <w:uiPriority w:val="99"/>
    <w:unhideWhenUsed/>
    <w:rsid w:val="00BB1763"/>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FB1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068726">
      <w:bodyDiv w:val="1"/>
      <w:marLeft w:val="0"/>
      <w:marRight w:val="0"/>
      <w:marTop w:val="0"/>
      <w:marBottom w:val="0"/>
      <w:divBdr>
        <w:top w:val="none" w:sz="0" w:space="0" w:color="auto"/>
        <w:left w:val="none" w:sz="0" w:space="0" w:color="auto"/>
        <w:bottom w:val="none" w:sz="0" w:space="0" w:color="auto"/>
        <w:right w:val="none" w:sz="0" w:space="0" w:color="auto"/>
      </w:divBdr>
    </w:div>
    <w:div w:id="1143889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sto.nasa.gov/trl/" TargetMode="External"/><Relationship Id="rId13" Type="http://schemas.openxmlformats.org/officeDocument/2006/relationships/hyperlink" Target="https://www.us-ocb.org/publications/scientific-planning-documents/" TargetMode="External"/><Relationship Id="rId18" Type="http://schemas.openxmlformats.org/officeDocument/2006/relationships/hyperlink" Target="https://www.akmarine.org/" TargetMode="External"/><Relationship Id="rId26" Type="http://schemas.openxmlformats.org/officeDocument/2006/relationships/hyperlink" Target="https://www.mbari.org/data/ocean-float-data/" TargetMode="External"/><Relationship Id="rId3" Type="http://schemas.openxmlformats.org/officeDocument/2006/relationships/styles" Target="styles.xml"/><Relationship Id="rId21" Type="http://schemas.openxmlformats.org/officeDocument/2006/relationships/hyperlink" Target="https://agupubs.onlinelibrary.wiley.com/doi/10.1002/2017JC013419" TargetMode="External"/><Relationship Id="rId7" Type="http://schemas.openxmlformats.org/officeDocument/2006/relationships/hyperlink" Target="https://globalocean.noaa.gov/" TargetMode="External"/><Relationship Id="rId12" Type="http://schemas.openxmlformats.org/officeDocument/2006/relationships/hyperlink" Target="https://www.carboncyclescience.us/carbon-planning" TargetMode="External"/><Relationship Id="rId17" Type="http://schemas.openxmlformats.org/officeDocument/2006/relationships/hyperlink" Target="https://www.comred.or.ke/story" TargetMode="External"/><Relationship Id="rId25" Type="http://schemas.openxmlformats.org/officeDocument/2006/relationships/hyperlink" Target="https://coastalfisheries.org/" TargetMode="External"/><Relationship Id="rId2" Type="http://schemas.openxmlformats.org/officeDocument/2006/relationships/numbering" Target="numbering.xml"/><Relationship Id="rId16" Type="http://schemas.openxmlformats.org/officeDocument/2006/relationships/hyperlink" Target="https://www.dakshin.org/about-us/" TargetMode="External"/><Relationship Id="rId20" Type="http://schemas.openxmlformats.org/officeDocument/2006/relationships/hyperlink" Target="https://www.frontiersin.org/articles/10.3389/fmars.2020.00700/full" TargetMode="External"/><Relationship Id="rId1" Type="http://schemas.openxmlformats.org/officeDocument/2006/relationships/customXml" Target="../customXml/item1.xml"/><Relationship Id="rId6" Type="http://schemas.openxmlformats.org/officeDocument/2006/relationships/hyperlink" Target="https://oceantechconnection.com/" TargetMode="External"/><Relationship Id="rId11" Type="http://schemas.openxmlformats.org/officeDocument/2006/relationships/hyperlink" Target="https://www.go-bgc.org/" TargetMode="External"/><Relationship Id="rId24" Type="http://schemas.openxmlformats.org/officeDocument/2006/relationships/hyperlink" Target="https://archimer.ifremer.fr/doc/00460/57195/" TargetMode="External"/><Relationship Id="rId5" Type="http://schemas.openxmlformats.org/officeDocument/2006/relationships/webSettings" Target="webSettings.xml"/><Relationship Id="rId15" Type="http://schemas.openxmlformats.org/officeDocument/2006/relationships/hyperlink" Target="https://www.planetindonesia.org/news/2022/3/29/dispersing-seeds-of-impact-announcing-new-partnerships-between-kalimantan-and-sulawesi" TargetMode="External"/><Relationship Id="rId23" Type="http://schemas.openxmlformats.org/officeDocument/2006/relationships/hyperlink" Target="https://www.mbari.org/project/canon/" TargetMode="External"/><Relationship Id="rId28" Type="http://schemas.openxmlformats.org/officeDocument/2006/relationships/theme" Target="theme/theme1.xml"/><Relationship Id="rId10" Type="http://schemas.openxmlformats.org/officeDocument/2006/relationships/hyperlink" Target="https://soccom.princeton.edu/" TargetMode="External"/><Relationship Id="rId19" Type="http://schemas.openxmlformats.org/officeDocument/2006/relationships/hyperlink" Target="https://www.ncei.noaa.gov/products/world-ocean-atlas" TargetMode="External"/><Relationship Id="rId4" Type="http://schemas.openxmlformats.org/officeDocument/2006/relationships/settings" Target="settings.xml"/><Relationship Id="rId9" Type="http://schemas.openxmlformats.org/officeDocument/2006/relationships/hyperlink" Target="https://argo.ucsd.edu/" TargetMode="External"/><Relationship Id="rId14" Type="http://schemas.openxmlformats.org/officeDocument/2006/relationships/hyperlink" Target="https://www.annualreviews.org/doi/10.1146/annurev-marine-022521-102008" TargetMode="External"/><Relationship Id="rId22" Type="http://schemas.openxmlformats.org/officeDocument/2006/relationships/hyperlink" Target="http://dx.doi.org/10.1111/gcb.1582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B3MsFv5gwAH/nhPHvACIXGMvQ==">CgMxLjAyCGguZ2pkZ3hzOAByITFPMU42NjRvSGNnTTlPRGlkNUstMXV4RkhtZUNMVS1pSA==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7</Pages>
  <Words>3541</Words>
  <Characters>20186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14</cp:revision>
  <dcterms:created xsi:type="dcterms:W3CDTF">2023-07-31T15:57:00Z</dcterms:created>
  <dcterms:modified xsi:type="dcterms:W3CDTF">2023-07-31T23:54:00Z</dcterms:modified>
</cp:coreProperties>
</file>