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3ED" w:rsidRDefault="00CF03ED" w:rsidP="00CF03ED">
      <w:pPr>
        <w:pStyle w:val="Body1"/>
        <w:jc w:val="both"/>
        <w:rPr>
          <w:b/>
        </w:rPr>
      </w:pPr>
      <w:r>
        <w:rPr>
          <w:rFonts w:eastAsia="Times New Roman"/>
          <w:b/>
        </w:rPr>
        <w:t>1.0 Project overview</w:t>
      </w:r>
    </w:p>
    <w:p w:rsidR="00CF03ED" w:rsidRDefault="00CF03ED" w:rsidP="00CF03ED">
      <w:pPr>
        <w:pStyle w:val="Body1"/>
        <w:ind w:firstLine="720"/>
      </w:pPr>
      <w:r>
        <w:rPr>
          <w:rFonts w:eastAsia="Times New Roman"/>
        </w:rPr>
        <w:t>As a step towards developing the scientific and technical capability for searching for life on other planets, we proposed a 4-year program to deploy the deep-sea Environmental Sample Processor (D-ESP; Scholin et al. 2009) for autonomously sampling and detecting microbes in Earth’s oceanic seep and hydrothermal vent environments.</w:t>
      </w:r>
    </w:p>
    <w:p w:rsidR="00CF03ED" w:rsidRDefault="00CF03ED" w:rsidP="00CF03ED">
      <w:pPr>
        <w:pStyle w:val="Body1"/>
      </w:pPr>
    </w:p>
    <w:p w:rsidR="00CF03ED" w:rsidRDefault="00CF03ED" w:rsidP="00CF03ED">
      <w:pPr>
        <w:pStyle w:val="Body1"/>
        <w:ind w:firstLine="720"/>
      </w:pPr>
      <w:r>
        <w:rPr>
          <w:rFonts w:eastAsia="Times New Roman"/>
        </w:rPr>
        <w:t xml:space="preserve">The D-ESP and its attendant geochemical sensors will be fitted to a free-fall benthic </w:t>
      </w:r>
      <w:proofErr w:type="spellStart"/>
      <w:r>
        <w:rPr>
          <w:rFonts w:eastAsia="Times New Roman"/>
        </w:rPr>
        <w:t>lander</w:t>
      </w:r>
      <w:proofErr w:type="spellEnd"/>
      <w:r>
        <w:rPr>
          <w:rFonts w:eastAsia="Times New Roman"/>
        </w:rPr>
        <w:t>, or “elevator.” The elevator will be deployed from a ship, and once on the bottom can be repositioned using a remotely operated vehicle (ROV). It will be capable of operating as a stand-alone system or integrated within a deep-sea cable observatory network.  Deployment of the D-ESP will take place off the west coast of the U.S. with sites including Monterey Bay, Axial Seamount and methane vents off Southern California. The primary goal is to autonomously assess temporal and spatial changes in microbial populations and distribution of functional genes in relation to fluid source and water column chemistry.  In addition, we will provide a mechanism for preserving discrete samples (particulates) in support of a variety of laboratory-based analyses following deployment and recovery of the instrument.</w:t>
      </w:r>
    </w:p>
    <w:p w:rsidR="00CF03ED" w:rsidRDefault="00CF03ED" w:rsidP="00CF03ED">
      <w:pPr>
        <w:pStyle w:val="Body1"/>
      </w:pPr>
    </w:p>
    <w:p w:rsidR="00CF03ED" w:rsidRDefault="00CF03ED" w:rsidP="00B476CB">
      <w:pPr>
        <w:pStyle w:val="Body1"/>
        <w:rPr>
          <w:rFonts w:eastAsia="Times New Roman"/>
          <w:u w:val="single"/>
        </w:rPr>
      </w:pPr>
    </w:p>
    <w:p w:rsidR="00B476CB" w:rsidRDefault="00B476CB" w:rsidP="00B476CB">
      <w:pPr>
        <w:pStyle w:val="Body1"/>
        <w:rPr>
          <w:u w:val="single"/>
        </w:rPr>
      </w:pPr>
      <w:r w:rsidRPr="00ED3FFC">
        <w:rPr>
          <w:rFonts w:eastAsia="Times New Roman"/>
          <w:u w:val="single"/>
        </w:rPr>
        <w:t>3.6  Axial</w:t>
      </w:r>
      <w:r>
        <w:rPr>
          <w:rFonts w:eastAsia="Times New Roman"/>
          <w:u w:val="single"/>
        </w:rPr>
        <w:t xml:space="preserve"> Seamount hydrothermal vent deployment Q3 2011</w:t>
      </w:r>
    </w:p>
    <w:p w:rsidR="00B476CB" w:rsidRDefault="00B476CB" w:rsidP="00B476CB">
      <w:r>
        <w:tab/>
        <w:t xml:space="preserve">The D-ESP was deployed within the caldera at Axial Seamount at the “Ashes” diffuse vent field from July 15-20 (Fig. 4).  Several technological developments were necessary for this deployment because of the remoteness of the location, unpredictability of weather for recovery, and the need to harden the D-ESP to potential damaging (high) temperatures when sampling vent fluid.  Because of the remoteness of Axial, we designed swappable battery sleds to maintain power to all systems in the event that the ship/ROV needed to be recalled or had </w:t>
      </w:r>
      <w:proofErr w:type="spellStart"/>
      <w:proofErr w:type="gramStart"/>
      <w:r>
        <w:t>it’s</w:t>
      </w:r>
      <w:proofErr w:type="spellEnd"/>
      <w:proofErr w:type="gramEnd"/>
      <w:r>
        <w:t xml:space="preserve"> mission altered.  Sampling high temperature water from cracks in the seafloor necessitated the design of a sampling wand, which acted both to collect water from a distance and as a heat exchanger, cooling water before it entered the D-ESP and ISMS.  A brief video clip highlighting operations is posted here: </w:t>
      </w:r>
      <w:hyperlink r:id="rId4" w:history="1">
        <w:r w:rsidRPr="00975D43">
          <w:rPr>
            <w:rStyle w:val="Hyperlink"/>
          </w:rPr>
          <w:t>http://www.mbari.org/staff/methane/ashes_highlights/ashes_highlights.html</w:t>
        </w:r>
      </w:hyperlink>
      <w:r>
        <w:t>.</w:t>
      </w:r>
      <w:r>
        <w:tab/>
      </w:r>
    </w:p>
    <w:p w:rsidR="00B476CB" w:rsidRDefault="00B476CB" w:rsidP="00B476CB"/>
    <w:p w:rsidR="00B476CB" w:rsidRDefault="00B476CB" w:rsidP="00B476CB">
      <w:pPr>
        <w:ind w:firstLine="720"/>
      </w:pPr>
      <w:r>
        <w:t xml:space="preserve">Our bottom time in the vent field was limited to five days, so we chose to focus on a mission plan that would demonstrate that the D-ESP can function in this environment and can reveal the fundamental differences between the cold, “background sea water” in the vent field versus hot fluids being expelled from the seafloor (Fig. 5). The D-ESP elevator was fitted with CTD, ISUS and ISMS contextual sensors.  However, the ISUS failed not long after deployment, most likely due to a flaw in the mirror optical probe (i.e., manufacturing flaw). </w:t>
      </w:r>
    </w:p>
    <w:p w:rsidR="00B476CB" w:rsidRDefault="00B476CB" w:rsidP="00B476CB">
      <w:pPr>
        <w:ind w:firstLine="720"/>
        <w:rPr>
          <w:noProof/>
        </w:rPr>
      </w:pPr>
    </w:p>
    <w:p w:rsidR="00B476CB" w:rsidRDefault="00B476CB" w:rsidP="00B476CB">
      <w:r>
        <w:rPr>
          <w:noProof/>
        </w:rPr>
        <w:lastRenderedPageBrea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8" type="#_x0000_t5" style="position:absolute;margin-left:140.7pt;margin-top:69.1pt;width:194.95pt;height:56.7pt;rotation:5891120fd;z-index:251662336;mso-wrap-edited:f" adj="10833" fillcolor="#bfbfbf" stroked="f" strokecolor="#a5a5a5" strokeweight="0">
            <v:fill opacity="42598f" o:detectmouseclick="t"/>
            <v:stroke endcap="round"/>
            <v:shadow opacity="22938f" offset="0"/>
            <v:textbox inset=",7.2pt,,7.2pt"/>
          </v:shape>
        </w:pict>
      </w:r>
      <w:r>
        <w:rPr>
          <w:noProof/>
        </w:rPr>
        <w:drawing>
          <wp:inline distT="0" distB="0" distL="0" distR="0">
            <wp:extent cx="2639103" cy="2468880"/>
            <wp:effectExtent l="25400" t="0" r="2497" b="0"/>
            <wp:docPr id="8" name="Picture 1" descr=":Axial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xial Image.jpg"/>
                    <pic:cNvPicPr>
                      <a:picLocks noChangeAspect="1" noChangeArrowheads="1"/>
                    </pic:cNvPicPr>
                  </pic:nvPicPr>
                  <pic:blipFill>
                    <a:blip r:embed="rId5" cstate="print"/>
                    <a:srcRect/>
                    <a:stretch>
                      <a:fillRect/>
                    </a:stretch>
                  </pic:blipFill>
                  <pic:spPr bwMode="auto">
                    <a:xfrm>
                      <a:off x="0" y="0"/>
                      <a:ext cx="2639103" cy="2468880"/>
                    </a:xfrm>
                    <a:prstGeom prst="rect">
                      <a:avLst/>
                    </a:prstGeom>
                    <a:noFill/>
                    <a:ln w="9525">
                      <a:noFill/>
                      <a:miter lim="800000"/>
                      <a:headEnd/>
                      <a:tailEnd/>
                    </a:ln>
                  </pic:spPr>
                </pic:pic>
              </a:graphicData>
            </a:graphic>
          </wp:inline>
        </w:drawing>
      </w:r>
      <w:r>
        <w:t xml:space="preserve">              </w:t>
      </w:r>
      <w:r>
        <w:rPr>
          <w:noProof/>
        </w:rPr>
        <w:drawing>
          <wp:inline distT="0" distB="0" distL="0" distR="0">
            <wp:extent cx="2320047" cy="2468880"/>
            <wp:effectExtent l="25400" t="0" r="0" b="0"/>
            <wp:docPr id="11" name="Picture 2" descr=":OOI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OI image.jpg"/>
                    <pic:cNvPicPr>
                      <a:picLocks noChangeAspect="1" noChangeArrowheads="1"/>
                    </pic:cNvPicPr>
                  </pic:nvPicPr>
                  <pic:blipFill>
                    <a:blip r:embed="rId6" cstate="print"/>
                    <a:srcRect/>
                    <a:stretch>
                      <a:fillRect/>
                    </a:stretch>
                  </pic:blipFill>
                  <pic:spPr bwMode="auto">
                    <a:xfrm>
                      <a:off x="0" y="0"/>
                      <a:ext cx="2320047" cy="2468880"/>
                    </a:xfrm>
                    <a:prstGeom prst="rect">
                      <a:avLst/>
                    </a:prstGeom>
                    <a:noFill/>
                    <a:ln w="9525">
                      <a:noFill/>
                      <a:miter lim="800000"/>
                      <a:headEnd/>
                      <a:tailEnd/>
                    </a:ln>
                  </pic:spPr>
                </pic:pic>
              </a:graphicData>
            </a:graphic>
          </wp:inline>
        </w:drawing>
      </w:r>
    </w:p>
    <w:p w:rsidR="00B476CB" w:rsidRPr="00D44314" w:rsidRDefault="00B476CB" w:rsidP="00B476CB">
      <w:pPr>
        <w:ind w:firstLine="720"/>
        <w:rPr>
          <w:color w:val="008000"/>
        </w:rPr>
      </w:pPr>
    </w:p>
    <w:p w:rsidR="00B476CB" w:rsidRDefault="00B476CB" w:rsidP="00B476CB">
      <w:pPr>
        <w:rPr>
          <w:color w:val="FF0000"/>
        </w:rPr>
      </w:pPr>
      <w:r w:rsidRPr="00180CD9">
        <w:rPr>
          <w:noProof/>
          <w:color w:val="FF0000"/>
        </w:rPr>
        <w:drawing>
          <wp:inline distT="0" distB="0" distL="0" distR="0">
            <wp:extent cx="2719070" cy="1889760"/>
            <wp:effectExtent l="19050" t="0" r="5080" b="0"/>
            <wp:docPr id="10" name="Picture 3"/>
            <wp:cNvGraphicFramePr/>
            <a:graphic xmlns:a="http://schemas.openxmlformats.org/drawingml/2006/main">
              <a:graphicData uri="http://schemas.openxmlformats.org/drawingml/2006/picture">
                <pic:pic xmlns:pic="http://schemas.openxmlformats.org/drawingml/2006/picture">
                  <pic:nvPicPr>
                    <pic:cNvPr id="37889" name="Picture 1"/>
                    <pic:cNvPicPr>
                      <a:picLocks noChangeAspect="1" noChangeArrowheads="1"/>
                    </pic:cNvPicPr>
                  </pic:nvPicPr>
                  <pic:blipFill>
                    <a:blip r:embed="rId7" cstate="print"/>
                    <a:srcRect/>
                    <a:stretch>
                      <a:fillRect/>
                    </a:stretch>
                  </pic:blipFill>
                  <pic:spPr bwMode="auto">
                    <a:xfrm>
                      <a:off x="0" y="0"/>
                      <a:ext cx="2720523" cy="1890770"/>
                    </a:xfrm>
                    <a:prstGeom prst="rect">
                      <a:avLst/>
                    </a:prstGeom>
                    <a:noFill/>
                    <a:ln w="12700" cap="flat">
                      <a:noFill/>
                      <a:miter lim="800000"/>
                      <a:headEnd/>
                      <a:tailEnd/>
                    </a:ln>
                  </pic:spPr>
                </pic:pic>
              </a:graphicData>
            </a:graphic>
          </wp:inline>
        </w:drawing>
      </w:r>
      <w:r w:rsidRPr="00180CD9">
        <w:rPr>
          <w:noProof/>
          <w:color w:val="FF0000"/>
        </w:rPr>
        <w:drawing>
          <wp:inline distT="0" distB="0" distL="0" distR="0">
            <wp:extent cx="2668270" cy="1888908"/>
            <wp:effectExtent l="19050" t="0" r="0" b="0"/>
            <wp:docPr id="7" name="Picture 2"/>
            <wp:cNvGraphicFramePr/>
            <a:graphic xmlns:a="http://schemas.openxmlformats.org/drawingml/2006/main">
              <a:graphicData uri="http://schemas.openxmlformats.org/drawingml/2006/picture">
                <pic:pic xmlns:pic="http://schemas.openxmlformats.org/drawingml/2006/picture">
                  <pic:nvPicPr>
                    <pic:cNvPr id="37890" name="Picture 2"/>
                    <pic:cNvPicPr>
                      <a:picLocks noChangeAspect="1" noChangeArrowheads="1"/>
                    </pic:cNvPicPr>
                  </pic:nvPicPr>
                  <pic:blipFill>
                    <a:blip r:embed="rId8" cstate="print"/>
                    <a:srcRect/>
                    <a:stretch>
                      <a:fillRect/>
                    </a:stretch>
                  </pic:blipFill>
                  <pic:spPr bwMode="auto">
                    <a:xfrm>
                      <a:off x="0" y="0"/>
                      <a:ext cx="2670290" cy="1890338"/>
                    </a:xfrm>
                    <a:prstGeom prst="rect">
                      <a:avLst/>
                    </a:prstGeom>
                    <a:noFill/>
                    <a:ln w="12700" cap="flat">
                      <a:noFill/>
                      <a:miter lim="800000"/>
                      <a:headEnd/>
                      <a:tailEnd/>
                    </a:ln>
                  </pic:spPr>
                </pic:pic>
              </a:graphicData>
            </a:graphic>
          </wp:inline>
        </w:drawing>
      </w:r>
    </w:p>
    <w:p w:rsidR="00B476CB" w:rsidRDefault="00B476CB" w:rsidP="00B476CB">
      <w:pPr>
        <w:rPr>
          <w:color w:val="FF0000"/>
        </w:rPr>
      </w:pPr>
      <w:r>
        <w:rPr>
          <w:noProof/>
          <w:color w:val="FF0000"/>
          <w:lang w:eastAsia="zh-TW"/>
        </w:rPr>
        <w:pict>
          <v:shapetype id="_x0000_t202" coordsize="21600,21600" o:spt="202" path="m,l,21600r21600,l21600,xe">
            <v:stroke joinstyle="miter"/>
            <v:path gradientshapeok="t" o:connecttype="rect"/>
          </v:shapetype>
          <v:shape id="_x0000_s1026" type="#_x0000_t202" style="position:absolute;margin-left:2.3pt;margin-top:.4pt;width:426.1pt;height:64.05pt;z-index:251660288;mso-width-relative:margin;mso-height-relative:margin" stroked="f">
            <v:textbox>
              <w:txbxContent>
                <w:p w:rsidR="00B476CB" w:rsidRPr="00155439" w:rsidRDefault="00B476CB" w:rsidP="00B476CB">
                  <w:pPr>
                    <w:rPr>
                      <w:sz w:val="20"/>
                      <w:szCs w:val="20"/>
                    </w:rPr>
                  </w:pPr>
                  <w:proofErr w:type="gramStart"/>
                  <w:r w:rsidRPr="00155439">
                    <w:rPr>
                      <w:b/>
                      <w:sz w:val="20"/>
                      <w:szCs w:val="20"/>
                    </w:rPr>
                    <w:t>Figure 4</w:t>
                  </w:r>
                  <w:r w:rsidRPr="00155439">
                    <w:rPr>
                      <w:sz w:val="20"/>
                      <w:szCs w:val="20"/>
                    </w:rPr>
                    <w:t>.</w:t>
                  </w:r>
                  <w:proofErr w:type="gramEnd"/>
                  <w:r w:rsidRPr="00155439">
                    <w:rPr>
                      <w:sz w:val="20"/>
                      <w:szCs w:val="20"/>
                    </w:rPr>
                    <w:t xml:space="preserve"> </w:t>
                  </w:r>
                  <w:r>
                    <w:rPr>
                      <w:sz w:val="20"/>
                      <w:szCs w:val="20"/>
                    </w:rPr>
                    <w:t>Site map showing location of the Ashes vent field within the context of NSF’s planned Ocean Observatories Initiative regional scale node cabled observatory (top; courtesy of J. Delaney) and t</w:t>
                  </w:r>
                  <w:r w:rsidRPr="00155439">
                    <w:rPr>
                      <w:sz w:val="20"/>
                      <w:szCs w:val="20"/>
                    </w:rPr>
                    <w:t>he D-ESP deployed at the Ashes vent field within the Axial seamount caldera</w:t>
                  </w:r>
                  <w:r>
                    <w:rPr>
                      <w:sz w:val="20"/>
                      <w:szCs w:val="20"/>
                    </w:rPr>
                    <w:t xml:space="preserve"> (bottom)</w:t>
                  </w:r>
                  <w:r w:rsidRPr="00155439">
                    <w:rPr>
                      <w:sz w:val="20"/>
                      <w:szCs w:val="20"/>
                    </w:rPr>
                    <w:t>.  Left</w:t>
                  </w:r>
                  <w:r>
                    <w:rPr>
                      <w:sz w:val="20"/>
                      <w:szCs w:val="20"/>
                    </w:rPr>
                    <w:t xml:space="preserve"> bottom</w:t>
                  </w:r>
                  <w:r w:rsidRPr="00155439">
                    <w:rPr>
                      <w:sz w:val="20"/>
                      <w:szCs w:val="20"/>
                    </w:rPr>
                    <w:t>: elevator wit</w:t>
                  </w:r>
                  <w:r>
                    <w:rPr>
                      <w:sz w:val="20"/>
                      <w:szCs w:val="20"/>
                    </w:rPr>
                    <w:t>h external battery pack.  Right bottom: the sample wand with its tip positioned in a crack along the seafloor that was expelling warm water.</w:t>
                  </w:r>
                  <w:r w:rsidRPr="00155439">
                    <w:rPr>
                      <w:sz w:val="20"/>
                      <w:szCs w:val="20"/>
                    </w:rPr>
                    <w:t xml:space="preserve"> </w:t>
                  </w:r>
                </w:p>
              </w:txbxContent>
            </v:textbox>
          </v:shape>
        </w:pict>
      </w:r>
    </w:p>
    <w:p w:rsidR="00B476CB" w:rsidRDefault="00B476CB" w:rsidP="00B476CB">
      <w:pPr>
        <w:rPr>
          <w:color w:val="FF0000"/>
        </w:rPr>
      </w:pPr>
    </w:p>
    <w:p w:rsidR="00B476CB" w:rsidRDefault="00B476CB" w:rsidP="00B476CB"/>
    <w:p w:rsidR="00B476CB" w:rsidRDefault="00B476CB" w:rsidP="00B476CB">
      <w:r>
        <w:rPr>
          <w:noProof/>
          <w:lang w:eastAsia="zh-TW"/>
        </w:rPr>
        <w:lastRenderedPageBreak/>
        <w:pict>
          <v:shape id="_x0000_s1027" type="#_x0000_t202" style="position:absolute;margin-left:-.8pt;margin-top:438.75pt;width:471.6pt;height:59.95pt;z-index:251661312;mso-wrap-edited:f;mso-width-relative:margin;mso-height-relative:margin" wrapcoords="-32 0 -32 20618 21600 20618 21600 0 -32 0" stroked="f">
            <v:textbox>
              <w:txbxContent>
                <w:p w:rsidR="00B476CB" w:rsidRPr="00E17A49" w:rsidRDefault="00B476CB" w:rsidP="00B476CB">
                  <w:pPr>
                    <w:rPr>
                      <w:sz w:val="20"/>
                      <w:szCs w:val="20"/>
                    </w:rPr>
                  </w:pPr>
                  <w:proofErr w:type="gramStart"/>
                  <w:r w:rsidRPr="00E17A49">
                    <w:rPr>
                      <w:b/>
                      <w:sz w:val="20"/>
                      <w:szCs w:val="20"/>
                    </w:rPr>
                    <w:t>Figure 5</w:t>
                  </w:r>
                  <w:r>
                    <w:rPr>
                      <w:sz w:val="20"/>
                      <w:szCs w:val="20"/>
                    </w:rPr>
                    <w:t>.</w:t>
                  </w:r>
                  <w:proofErr w:type="gramEnd"/>
                  <w:r>
                    <w:rPr>
                      <w:sz w:val="20"/>
                      <w:szCs w:val="20"/>
                    </w:rPr>
                    <w:t xml:space="preserve"> </w:t>
                  </w:r>
                  <w:r w:rsidRPr="002040DB">
                    <w:rPr>
                      <w:sz w:val="20"/>
                      <w:szCs w:val="20"/>
                    </w:rPr>
                    <w:t xml:space="preserve">Examples </w:t>
                  </w:r>
                  <w:r>
                    <w:rPr>
                      <w:sz w:val="20"/>
                      <w:szCs w:val="20"/>
                    </w:rPr>
                    <w:t>illustrating data obtained while operating the D-ESP at Axial Seamount:  (A</w:t>
                  </w:r>
                  <w:proofErr w:type="gramStart"/>
                  <w:r>
                    <w:rPr>
                      <w:sz w:val="20"/>
                      <w:szCs w:val="20"/>
                    </w:rPr>
                    <w:t>)  sandwich</w:t>
                  </w:r>
                  <w:proofErr w:type="gramEnd"/>
                  <w:r>
                    <w:rPr>
                      <w:sz w:val="20"/>
                      <w:szCs w:val="20"/>
                    </w:rPr>
                    <w:t xml:space="preserve"> hybridization shows differences in </w:t>
                  </w:r>
                  <w:proofErr w:type="spellStart"/>
                  <w:r>
                    <w:rPr>
                      <w:sz w:val="20"/>
                      <w:szCs w:val="20"/>
                    </w:rPr>
                    <w:t>rRNA</w:t>
                  </w:r>
                  <w:proofErr w:type="spellEnd"/>
                  <w:r>
                    <w:rPr>
                      <w:sz w:val="20"/>
                      <w:szCs w:val="20"/>
                    </w:rPr>
                    <w:t xml:space="preserve"> community structure when sampling away from or within the vent; (B)  real-time </w:t>
                  </w:r>
                  <w:proofErr w:type="spellStart"/>
                  <w:r>
                    <w:rPr>
                      <w:sz w:val="20"/>
                      <w:szCs w:val="20"/>
                    </w:rPr>
                    <w:t>qPCR</w:t>
                  </w:r>
                  <w:proofErr w:type="spellEnd"/>
                  <w:r>
                    <w:rPr>
                      <w:sz w:val="20"/>
                      <w:szCs w:val="20"/>
                    </w:rPr>
                    <w:t xml:space="preserve"> shows differences in gene copy number (</w:t>
                  </w:r>
                  <w:proofErr w:type="spellStart"/>
                  <w:r>
                    <w:rPr>
                      <w:sz w:val="20"/>
                      <w:szCs w:val="20"/>
                    </w:rPr>
                    <w:t>Grp</w:t>
                  </w:r>
                  <w:proofErr w:type="spellEnd"/>
                  <w:r>
                    <w:rPr>
                      <w:sz w:val="20"/>
                      <w:szCs w:val="20"/>
                    </w:rPr>
                    <w:t xml:space="preserve"> 1A and </w:t>
                  </w:r>
                  <w:proofErr w:type="spellStart"/>
                  <w:r>
                    <w:rPr>
                      <w:sz w:val="20"/>
                      <w:szCs w:val="20"/>
                    </w:rPr>
                    <w:t>AOAb</w:t>
                  </w:r>
                  <w:proofErr w:type="spellEnd"/>
                  <w:r>
                    <w:rPr>
                      <w:sz w:val="20"/>
                      <w:szCs w:val="20"/>
                    </w:rPr>
                    <w:t xml:space="preserve"> genes) depending on collection site; (C) temperature/salinity plot shows samples collected are from two distinct sources. </w:t>
                  </w:r>
                </w:p>
              </w:txbxContent>
            </v:textbox>
            <w10:wrap type="tight"/>
          </v:shape>
        </w:pict>
      </w:r>
      <w:r>
        <w:rPr>
          <w:noProof/>
        </w:rPr>
        <w:drawing>
          <wp:inline distT="0" distB="0" distL="0" distR="0">
            <wp:extent cx="5935345" cy="5443855"/>
            <wp:effectExtent l="25400" t="0" r="8255" b="0"/>
            <wp:docPr id="6" name="Picture 1" descr="ESP:2011_ESP_Deployments:JuanDeFuca2011:JdF2011 Figures:sandbox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P:2011_ESP_Deployments:JuanDeFuca2011:JdF2011 Figures:sandbox copy.jpg"/>
                    <pic:cNvPicPr>
                      <a:picLocks noChangeAspect="1" noChangeArrowheads="1"/>
                    </pic:cNvPicPr>
                  </pic:nvPicPr>
                  <pic:blipFill>
                    <a:blip r:embed="rId9" cstate="print"/>
                    <a:srcRect/>
                    <a:stretch>
                      <a:fillRect/>
                    </a:stretch>
                  </pic:blipFill>
                  <pic:spPr bwMode="auto">
                    <a:xfrm>
                      <a:off x="0" y="0"/>
                      <a:ext cx="5935345" cy="5443855"/>
                    </a:xfrm>
                    <a:prstGeom prst="rect">
                      <a:avLst/>
                    </a:prstGeom>
                    <a:noFill/>
                    <a:ln w="9525">
                      <a:noFill/>
                      <a:miter lim="800000"/>
                      <a:headEnd/>
                      <a:tailEnd/>
                    </a:ln>
                  </pic:spPr>
                </pic:pic>
              </a:graphicData>
            </a:graphic>
          </wp:inline>
        </w:drawing>
      </w:r>
    </w:p>
    <w:p w:rsidR="00B476CB" w:rsidRDefault="00B476CB" w:rsidP="00B476CB">
      <w:pPr>
        <w:ind w:firstLine="720"/>
      </w:pPr>
    </w:p>
    <w:p w:rsidR="00B476CB" w:rsidRDefault="00B476CB" w:rsidP="00B476CB">
      <w:pPr>
        <w:ind w:firstLine="720"/>
      </w:pPr>
      <w:r>
        <w:t xml:space="preserve">Hydrothermal vents are an ideal place to reveal the efficacy of the ISMS.  Hydrothermal vents are exceedingly dynamic in temperature and geochemical composition, and there has been a long-standing desire among the vent scientific community to develop instruments that are capable of making high spatial and temporal chemical measurements </w:t>
      </w:r>
      <w:r w:rsidRPr="00463869">
        <w:rPr>
          <w:i/>
        </w:rPr>
        <w:t>in situ</w:t>
      </w:r>
      <w:r>
        <w:t>.  The ISMS is equipped with a titanium heat exchanger that enables us to sample fluids to temperatures up to 350° C, which we have used in previous studies to constrain the geochemical flux from hydrothermal vents, as well as the metabolic activity of microbes in the subsurface biosphere (</w:t>
      </w:r>
      <w:proofErr w:type="spellStart"/>
      <w:r>
        <w:t>Wankel</w:t>
      </w:r>
      <w:proofErr w:type="spellEnd"/>
      <w:r>
        <w:t xml:space="preserve"> et al, 2011), as well as to constrain the uptake of hydrogen by vent mussels symbiotic with bacteria (Petersen et al, 2011).  The ability of the ISMS to quantify hydrogen and other </w:t>
      </w:r>
      <w:r>
        <w:lastRenderedPageBreak/>
        <w:t>volatiles in fluids with widely varying temperatures is a key attribute of this instrument that makes it wells suited for these environments.</w:t>
      </w:r>
    </w:p>
    <w:p w:rsidR="00B476CB" w:rsidRDefault="00B476CB" w:rsidP="00B476CB"/>
    <w:p w:rsidR="00B476CB" w:rsidRDefault="00B476CB" w:rsidP="00B476CB">
      <w:r>
        <w:tab/>
        <w:t xml:space="preserve">During the deployment at Axial, the ISMS was operated for the majority of the time that the D-ESP was sampling (though the ISMS was powered down for several hours while the D-ESP was sampling background seawater, in order to prolong battery life).  The ISMS captured the striking differences in geochemical composition among the three sample regimes; highly diffuse fluids above the vent, warmer vent fluids near the bottom, and background seawater.  It was apparent that there were variations in dissolved volatiles over short periods of time, and at different modalities.  Specifically, while each of these geochemical regimes was quite different from one another, there is a periodicity in volatile composition that is evident in the reduced gasses (e.g., methane and hydrogen sulfide; see Fig. 6).  It is not yet clear whether this is tidal in nature, or attributable to some other factor.  Nevertheless, we were fortunate that some of these “peaks and valleys” correspond to discrete D-ESP sampling events; it remains to be seen whether these fluctuations in geochemical composition are apparent in microbial gene expression. </w:t>
      </w:r>
    </w:p>
    <w:p w:rsidR="00B476CB" w:rsidRDefault="00B476CB" w:rsidP="00B476CB"/>
    <w:p w:rsidR="00B476CB" w:rsidRPr="00D44314" w:rsidRDefault="00B476CB" w:rsidP="00B476CB">
      <w:pPr>
        <w:pStyle w:val="Body1"/>
        <w:rPr>
          <w:color w:val="auto"/>
        </w:rPr>
      </w:pPr>
      <w:r>
        <w:rPr>
          <w:noProof/>
          <w:color w:val="auto"/>
        </w:rPr>
        <w:drawing>
          <wp:inline distT="0" distB="0" distL="0" distR="0">
            <wp:extent cx="5770638" cy="3797300"/>
            <wp:effectExtent l="25400" t="0" r="0" b="0"/>
            <wp:docPr id="1" name="Picture 1" descr=":Girguis figure:CV_MBARI-ESP2011-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rguis figure:CV_MBARI-ESP2011-1.tiff"/>
                    <pic:cNvPicPr>
                      <a:picLocks noChangeAspect="1" noChangeArrowheads="1"/>
                    </pic:cNvPicPr>
                  </pic:nvPicPr>
                  <pic:blipFill>
                    <a:blip r:embed="rId10" cstate="print"/>
                    <a:srcRect l="8654" t="13675" r="12927" b="17521"/>
                    <a:stretch>
                      <a:fillRect/>
                    </a:stretch>
                  </pic:blipFill>
                  <pic:spPr bwMode="auto">
                    <a:xfrm>
                      <a:off x="0" y="0"/>
                      <a:ext cx="5770638" cy="3797300"/>
                    </a:xfrm>
                    <a:prstGeom prst="rect">
                      <a:avLst/>
                    </a:prstGeom>
                    <a:noFill/>
                    <a:ln w="9525">
                      <a:noFill/>
                      <a:miter lim="800000"/>
                      <a:headEnd/>
                      <a:tailEnd/>
                    </a:ln>
                  </pic:spPr>
                </pic:pic>
              </a:graphicData>
            </a:graphic>
          </wp:inline>
        </w:drawing>
      </w:r>
    </w:p>
    <w:p w:rsidR="00B476CB" w:rsidRPr="00D44314" w:rsidRDefault="00B476CB" w:rsidP="00B476CB">
      <w:pPr>
        <w:pStyle w:val="Body1"/>
        <w:rPr>
          <w:color w:val="auto"/>
        </w:rPr>
      </w:pPr>
    </w:p>
    <w:p w:rsidR="00B476CB" w:rsidRPr="00E17A49" w:rsidRDefault="00B476CB" w:rsidP="00B476CB">
      <w:pPr>
        <w:rPr>
          <w:sz w:val="20"/>
          <w:szCs w:val="20"/>
        </w:rPr>
      </w:pPr>
      <w:proofErr w:type="gramStart"/>
      <w:r w:rsidRPr="00E17A49">
        <w:rPr>
          <w:b/>
          <w:sz w:val="20"/>
          <w:szCs w:val="20"/>
        </w:rPr>
        <w:t>Figure 6</w:t>
      </w:r>
      <w:r w:rsidRPr="00E17A49">
        <w:rPr>
          <w:sz w:val="20"/>
          <w:szCs w:val="20"/>
        </w:rPr>
        <w:t>.</w:t>
      </w:r>
      <w:proofErr w:type="gramEnd"/>
      <w:r w:rsidRPr="00E17A49">
        <w:rPr>
          <w:sz w:val="20"/>
          <w:szCs w:val="20"/>
        </w:rPr>
        <w:t xml:space="preserve">  ISMS data collected over four days at the </w:t>
      </w:r>
      <w:r>
        <w:rPr>
          <w:sz w:val="20"/>
          <w:szCs w:val="20"/>
        </w:rPr>
        <w:t>Ashes</w:t>
      </w:r>
      <w:r w:rsidRPr="00E17A49">
        <w:rPr>
          <w:sz w:val="20"/>
          <w:szCs w:val="20"/>
        </w:rPr>
        <w:t xml:space="preserve"> hydrothermal vent field.  The horizontal lines at the top of the figure correspond to the sampling regime (Black = background; yellow = highly diffuse flow; red = warmer, focused flow).  The gaps in the data correspond to periods during which the ISMS was </w:t>
      </w:r>
      <w:r>
        <w:rPr>
          <w:sz w:val="20"/>
          <w:szCs w:val="20"/>
        </w:rPr>
        <w:t>switched off</w:t>
      </w:r>
      <w:r w:rsidRPr="00E17A49">
        <w:rPr>
          <w:sz w:val="20"/>
          <w:szCs w:val="20"/>
        </w:rPr>
        <w:t xml:space="preserve"> for power conservation.  Temperature is shown in teal, key volatiles shown in their corresponding colors.  Other volatiles that were measured, e.g. hydrogen, nitrogen, C2-C4 </w:t>
      </w:r>
      <w:proofErr w:type="spellStart"/>
      <w:r w:rsidRPr="00E17A49">
        <w:rPr>
          <w:sz w:val="20"/>
          <w:szCs w:val="20"/>
        </w:rPr>
        <w:t>alkanes</w:t>
      </w:r>
      <w:proofErr w:type="spellEnd"/>
      <w:r w:rsidRPr="00E17A49">
        <w:rPr>
          <w:sz w:val="20"/>
          <w:szCs w:val="20"/>
        </w:rPr>
        <w:t xml:space="preserve">, are not shown for simplicity.  </w:t>
      </w:r>
    </w:p>
    <w:p w:rsidR="00B476CB" w:rsidRDefault="00B476CB" w:rsidP="00B476CB"/>
    <w:p w:rsidR="005A5F93" w:rsidRDefault="005A5F93"/>
    <w:p w:rsidR="00B476CB" w:rsidRDefault="00B476CB" w:rsidP="00B476CB">
      <w:pPr>
        <w:spacing w:after="120"/>
        <w:outlineLvl w:val="0"/>
        <w:rPr>
          <w:b/>
          <w:color w:val="000000"/>
        </w:rPr>
      </w:pPr>
    </w:p>
    <w:p w:rsidR="00B476CB" w:rsidRPr="00E44D4F" w:rsidRDefault="00B476CB" w:rsidP="00B476CB">
      <w:pPr>
        <w:spacing w:after="120"/>
        <w:outlineLvl w:val="0"/>
        <w:rPr>
          <w:rFonts w:eastAsia="ヒラギノ角ゴ Pro W3"/>
          <w:b/>
          <w:color w:val="000000"/>
        </w:rPr>
      </w:pPr>
      <w:r>
        <w:rPr>
          <w:b/>
          <w:color w:val="000000"/>
        </w:rPr>
        <w:lastRenderedPageBreak/>
        <w:t>REFs cited are somewhere in this list</w:t>
      </w:r>
    </w:p>
    <w:p w:rsidR="00B476CB" w:rsidRDefault="00B476CB" w:rsidP="00B476CB">
      <w:pPr>
        <w:pStyle w:val="Body1"/>
        <w:ind w:left="720" w:hanging="720"/>
        <w:rPr>
          <w:rFonts w:eastAsia="Times New Roman"/>
        </w:rPr>
      </w:pPr>
      <w:r>
        <w:rPr>
          <w:rFonts w:eastAsia="Times New Roman"/>
        </w:rPr>
        <w:t xml:space="preserve">Ottesen, E.A., R. Marin III, C.M. Preston, C.R. Young, J.P. Ryan, C.A. Scholin and E.F. </w:t>
      </w:r>
      <w:proofErr w:type="spellStart"/>
      <w:r>
        <w:rPr>
          <w:rFonts w:eastAsia="Times New Roman"/>
        </w:rPr>
        <w:t>DeLong</w:t>
      </w:r>
      <w:proofErr w:type="spellEnd"/>
      <w:r>
        <w:rPr>
          <w:rFonts w:eastAsia="Times New Roman"/>
        </w:rPr>
        <w:t xml:space="preserve">. </w:t>
      </w:r>
      <w:proofErr w:type="spellStart"/>
      <w:proofErr w:type="gramStart"/>
      <w:r>
        <w:rPr>
          <w:rFonts w:eastAsia="Times New Roman"/>
        </w:rPr>
        <w:t>Metatranscriptomic</w:t>
      </w:r>
      <w:proofErr w:type="spellEnd"/>
      <w:r>
        <w:rPr>
          <w:rFonts w:eastAsia="Times New Roman"/>
        </w:rPr>
        <w:t xml:space="preserve"> analysis of autonomously collected and preserved marine </w:t>
      </w:r>
      <w:proofErr w:type="spellStart"/>
      <w:r>
        <w:rPr>
          <w:rFonts w:eastAsia="Times New Roman"/>
        </w:rPr>
        <w:t>bacterioplankton</w:t>
      </w:r>
      <w:proofErr w:type="spellEnd"/>
      <w:r>
        <w:rPr>
          <w:rFonts w:eastAsia="Times New Roman"/>
        </w:rPr>
        <w:t>.</w:t>
      </w:r>
      <w:proofErr w:type="gramEnd"/>
      <w:r>
        <w:rPr>
          <w:rFonts w:eastAsia="Times New Roman"/>
        </w:rPr>
        <w:t xml:space="preserve">  </w:t>
      </w:r>
      <w:proofErr w:type="gramStart"/>
      <w:r>
        <w:rPr>
          <w:rFonts w:eastAsia="Times New Roman"/>
          <w:i/>
        </w:rPr>
        <w:t>The ISME Journal</w:t>
      </w:r>
      <w:r>
        <w:rPr>
          <w:rFonts w:eastAsia="Times New Roman"/>
        </w:rPr>
        <w:t xml:space="preserve"> (advance online publication, June 30, 2011; doi:10.1038/ismej.2011.70; leveraged activity).</w:t>
      </w:r>
      <w:proofErr w:type="gramEnd"/>
    </w:p>
    <w:p w:rsidR="00B476CB" w:rsidRDefault="00B476CB" w:rsidP="00B476CB">
      <w:pPr>
        <w:pStyle w:val="Body1"/>
        <w:ind w:left="720" w:hanging="720"/>
        <w:rPr>
          <w:rFonts w:eastAsia="Times New Roman"/>
        </w:rPr>
      </w:pPr>
    </w:p>
    <w:p w:rsidR="00B476CB" w:rsidRDefault="00B476CB" w:rsidP="00B476CB">
      <w:pPr>
        <w:pStyle w:val="Body1"/>
        <w:ind w:left="720" w:hanging="720"/>
      </w:pPr>
      <w:r>
        <w:t xml:space="preserve">Petersen J.M., Zielinski, F.U., </w:t>
      </w:r>
      <w:proofErr w:type="spellStart"/>
      <w:r>
        <w:t>Pape</w:t>
      </w:r>
      <w:proofErr w:type="spellEnd"/>
      <w:r>
        <w:t xml:space="preserve">, T., Seifert, R., </w:t>
      </w:r>
      <w:proofErr w:type="spellStart"/>
      <w:r>
        <w:t>Moraru</w:t>
      </w:r>
      <w:proofErr w:type="spellEnd"/>
      <w:r>
        <w:t xml:space="preserve">, C., </w:t>
      </w:r>
      <w:proofErr w:type="spellStart"/>
      <w:r>
        <w:t>Amann</w:t>
      </w:r>
      <w:proofErr w:type="spellEnd"/>
      <w:r>
        <w:t xml:space="preserve">, R., </w:t>
      </w:r>
      <w:proofErr w:type="spellStart"/>
      <w:r>
        <w:t>Hourdez</w:t>
      </w:r>
      <w:proofErr w:type="spellEnd"/>
      <w:r>
        <w:t xml:space="preserve">, S., Girguis, P.R., </w:t>
      </w:r>
      <w:proofErr w:type="spellStart"/>
      <w:r>
        <w:t>Wankel</w:t>
      </w:r>
      <w:proofErr w:type="spellEnd"/>
      <w:r>
        <w:t xml:space="preserve">, S.D., </w:t>
      </w:r>
      <w:proofErr w:type="spellStart"/>
      <w:r>
        <w:t>Barbe</w:t>
      </w:r>
      <w:proofErr w:type="gramStart"/>
      <w:r>
        <w:t>,V</w:t>
      </w:r>
      <w:proofErr w:type="spellEnd"/>
      <w:proofErr w:type="gramEnd"/>
      <w:r>
        <w:t xml:space="preserve">., Pelletier, E., Fink, D., </w:t>
      </w:r>
      <w:proofErr w:type="spellStart"/>
      <w:r>
        <w:t>Borowski</w:t>
      </w:r>
      <w:proofErr w:type="spellEnd"/>
      <w:r>
        <w:t xml:space="preserve">, C., Bach, W., and </w:t>
      </w:r>
      <w:proofErr w:type="spellStart"/>
      <w:r>
        <w:t>Dubilier</w:t>
      </w:r>
      <w:proofErr w:type="spellEnd"/>
      <w:r>
        <w:t xml:space="preserve">, N.  2011.  Hydrogen is an energy source for vent symbioses.  </w:t>
      </w:r>
      <w:r>
        <w:rPr>
          <w:i/>
          <w:iCs/>
        </w:rPr>
        <w:t>Nature</w:t>
      </w:r>
      <w:r>
        <w:t xml:space="preserve"> 474, 11 August 2011. </w:t>
      </w:r>
      <w:proofErr w:type="spellStart"/>
      <w:proofErr w:type="gramStart"/>
      <w:r>
        <w:t>doi</w:t>
      </w:r>
      <w:proofErr w:type="spellEnd"/>
      <w:proofErr w:type="gramEnd"/>
      <w:r>
        <w:t>: 10.1038/nature10325</w:t>
      </w:r>
    </w:p>
    <w:p w:rsidR="00B476CB" w:rsidRDefault="00B476CB" w:rsidP="00B476CB">
      <w:pPr>
        <w:pStyle w:val="Body1"/>
        <w:ind w:left="720" w:hanging="720"/>
      </w:pPr>
      <w:r>
        <w:t xml:space="preserve">   </w:t>
      </w:r>
    </w:p>
    <w:p w:rsidR="00B476CB" w:rsidRDefault="00B476CB" w:rsidP="00B476CB">
      <w:pPr>
        <w:pStyle w:val="Body1"/>
        <w:ind w:left="720" w:hanging="720"/>
      </w:pPr>
      <w:r>
        <w:rPr>
          <w:rFonts w:eastAsia="Times New Roman"/>
        </w:rPr>
        <w:t xml:space="preserve">Preston, C.M., A. Harris, J. P. Ryan, B. Roman, R. Marin III, S. Jensen, C. Everlove, J. Birch, J. M. Dzenitis, D. Pargett, M. Adachi, K. Turk, J. P. Zehr, C. A. Scholin.  2011. Underwater application of quantitative PCR on an ocean mooring.  </w:t>
      </w:r>
      <w:proofErr w:type="spellStart"/>
      <w:r>
        <w:rPr>
          <w:rFonts w:eastAsia="Times New Roman"/>
          <w:i/>
        </w:rPr>
        <w:t>PLoS</w:t>
      </w:r>
      <w:proofErr w:type="spellEnd"/>
      <w:r>
        <w:rPr>
          <w:rFonts w:eastAsia="Times New Roman"/>
          <w:i/>
        </w:rPr>
        <w:t xml:space="preserve"> ONE </w:t>
      </w:r>
      <w:r>
        <w:rPr>
          <w:rFonts w:eastAsia="Times New Roman"/>
        </w:rPr>
        <w:t>6(8): e22522. doi:10.1371/journal.pone.0022522</w:t>
      </w:r>
    </w:p>
    <w:p w:rsidR="00B476CB" w:rsidRDefault="00B476CB" w:rsidP="00B476CB">
      <w:pPr>
        <w:pStyle w:val="Body1"/>
        <w:rPr>
          <w:rFonts w:eastAsia="Times New Roman"/>
        </w:rPr>
      </w:pPr>
    </w:p>
    <w:p w:rsidR="00B476CB" w:rsidRDefault="00B476CB" w:rsidP="00B476CB">
      <w:pPr>
        <w:pStyle w:val="Body1"/>
        <w:ind w:left="720" w:hanging="720"/>
        <w:rPr>
          <w:rFonts w:eastAsia="Times New Roman"/>
        </w:rPr>
      </w:pPr>
      <w:r>
        <w:rPr>
          <w:rFonts w:eastAsia="Times New Roman"/>
        </w:rPr>
        <w:t xml:space="preserve">Robidart, J.C,  C.M. Preston, R.W. </w:t>
      </w:r>
      <w:proofErr w:type="spellStart"/>
      <w:r>
        <w:rPr>
          <w:rFonts w:eastAsia="Times New Roman"/>
        </w:rPr>
        <w:t>Paerl</w:t>
      </w:r>
      <w:proofErr w:type="spellEnd"/>
      <w:r>
        <w:rPr>
          <w:rFonts w:eastAsia="Times New Roman"/>
        </w:rPr>
        <w:t xml:space="preserve">, K.A. Turk, A.C. Mosier, C.A. Francis, C.A. Scholin, J.P. Zehr.  Seasonal dynamics of </w:t>
      </w:r>
      <w:proofErr w:type="spellStart"/>
      <w:r>
        <w:rPr>
          <w:rFonts w:eastAsia="Times New Roman"/>
          <w:i/>
        </w:rPr>
        <w:t>Synechococcus</w:t>
      </w:r>
      <w:proofErr w:type="spellEnd"/>
      <w:r>
        <w:rPr>
          <w:rFonts w:eastAsia="Times New Roman"/>
        </w:rPr>
        <w:t xml:space="preserve"> and </w:t>
      </w:r>
      <w:proofErr w:type="spellStart"/>
      <w:r>
        <w:rPr>
          <w:rFonts w:eastAsia="Times New Roman"/>
          <w:i/>
        </w:rPr>
        <w:t>Thaumarchaeal</w:t>
      </w:r>
      <w:proofErr w:type="spellEnd"/>
      <w:r>
        <w:rPr>
          <w:rFonts w:eastAsia="Times New Roman"/>
        </w:rPr>
        <w:t xml:space="preserve"> microbial populations in Monterey Bay resolved in real time with remote </w:t>
      </w:r>
      <w:r>
        <w:rPr>
          <w:rFonts w:eastAsia="Times New Roman"/>
          <w:i/>
        </w:rPr>
        <w:t xml:space="preserve">in situ </w:t>
      </w:r>
      <w:r>
        <w:rPr>
          <w:rFonts w:eastAsia="Times New Roman"/>
        </w:rPr>
        <w:t xml:space="preserve">instrumentation.  </w:t>
      </w:r>
      <w:proofErr w:type="gramStart"/>
      <w:r>
        <w:rPr>
          <w:rFonts w:eastAsia="Times New Roman"/>
          <w:i/>
        </w:rPr>
        <w:t>The ISME Journal</w:t>
      </w:r>
      <w:r>
        <w:rPr>
          <w:rFonts w:eastAsia="Times New Roman"/>
        </w:rPr>
        <w:t xml:space="preserve"> (in press).</w:t>
      </w:r>
      <w:proofErr w:type="gramEnd"/>
    </w:p>
    <w:p w:rsidR="00B476CB" w:rsidRDefault="00B476CB" w:rsidP="00B476CB">
      <w:pPr>
        <w:pStyle w:val="Body1"/>
        <w:ind w:left="720" w:hanging="720"/>
        <w:rPr>
          <w:rFonts w:eastAsia="Times New Roman"/>
        </w:rPr>
      </w:pPr>
    </w:p>
    <w:p w:rsidR="00B476CB" w:rsidRDefault="00B476CB" w:rsidP="00B476CB">
      <w:pPr>
        <w:spacing w:after="120"/>
        <w:ind w:left="720" w:hanging="720"/>
        <w:outlineLvl w:val="0"/>
        <w:rPr>
          <w:rFonts w:eastAsia="ヒラギノ角ゴ Pro W3"/>
          <w:color w:val="000000"/>
        </w:rPr>
      </w:pPr>
      <w:r>
        <w:rPr>
          <w:color w:val="000000"/>
        </w:rPr>
        <w:t xml:space="preserve">Saito, M.A., V.V. </w:t>
      </w:r>
      <w:proofErr w:type="spellStart"/>
      <w:r>
        <w:rPr>
          <w:color w:val="000000"/>
        </w:rPr>
        <w:t>Bulygin</w:t>
      </w:r>
      <w:proofErr w:type="spellEnd"/>
      <w:r>
        <w:rPr>
          <w:color w:val="000000"/>
        </w:rPr>
        <w:t xml:space="preserve">, D.M. Moran, C. Taylor, C. Scholin.  </w:t>
      </w:r>
      <w:proofErr w:type="gramStart"/>
      <w:r>
        <w:rPr>
          <w:color w:val="000000"/>
        </w:rPr>
        <w:t>Examination of microbial proteome preservation techniques applicable to autonomous environmental sample collection.</w:t>
      </w:r>
      <w:proofErr w:type="gramEnd"/>
      <w:r>
        <w:rPr>
          <w:color w:val="000000"/>
        </w:rPr>
        <w:t xml:space="preserve">  </w:t>
      </w:r>
      <w:proofErr w:type="gramStart"/>
      <w:r>
        <w:rPr>
          <w:i/>
          <w:color w:val="000000"/>
        </w:rPr>
        <w:t xml:space="preserve">Frontiers in Aquatic Microbiology </w:t>
      </w:r>
      <w:r>
        <w:rPr>
          <w:color w:val="000000"/>
        </w:rPr>
        <w:t>(in press).</w:t>
      </w:r>
      <w:proofErr w:type="gramEnd"/>
    </w:p>
    <w:p w:rsidR="00B476CB" w:rsidRDefault="00B476CB" w:rsidP="00B476CB">
      <w:pPr>
        <w:outlineLvl w:val="0"/>
        <w:rPr>
          <w:color w:val="000000"/>
        </w:rPr>
      </w:pPr>
    </w:p>
    <w:p w:rsidR="00B476CB" w:rsidRDefault="00B476CB" w:rsidP="00B476CB">
      <w:pPr>
        <w:pStyle w:val="Body1"/>
        <w:ind w:left="720" w:hanging="720"/>
        <w:rPr>
          <w:rFonts w:eastAsia="Times New Roman"/>
        </w:rPr>
      </w:pPr>
      <w:r>
        <w:rPr>
          <w:rFonts w:eastAsia="Times New Roman"/>
        </w:rPr>
        <w:t xml:space="preserve">Tavormina PL, Ussler W, Orphan VJ (2008). </w:t>
      </w:r>
      <w:proofErr w:type="spellStart"/>
      <w:r>
        <w:rPr>
          <w:rFonts w:eastAsia="Times New Roman"/>
        </w:rPr>
        <w:t>Planktonic</w:t>
      </w:r>
      <w:proofErr w:type="spellEnd"/>
      <w:r>
        <w:rPr>
          <w:rFonts w:eastAsia="Times New Roman"/>
        </w:rPr>
        <w:t xml:space="preserve"> and sediment-associated aerobic </w:t>
      </w:r>
      <w:proofErr w:type="spellStart"/>
      <w:r>
        <w:rPr>
          <w:rFonts w:eastAsia="Times New Roman"/>
        </w:rPr>
        <w:t>methanotrophs</w:t>
      </w:r>
      <w:proofErr w:type="spellEnd"/>
      <w:r>
        <w:rPr>
          <w:rFonts w:eastAsia="Times New Roman"/>
        </w:rPr>
        <w:t xml:space="preserve"> in two seep systems along the North American margin. </w:t>
      </w:r>
      <w:r>
        <w:rPr>
          <w:rFonts w:eastAsia="Times New Roman"/>
          <w:i/>
        </w:rPr>
        <w:t>Applied and Environmental Microbiology</w:t>
      </w:r>
      <w:r>
        <w:rPr>
          <w:rFonts w:eastAsia="Times New Roman"/>
        </w:rPr>
        <w:t xml:space="preserve"> 74: 3985-3995.</w:t>
      </w:r>
    </w:p>
    <w:p w:rsidR="00B476CB" w:rsidRDefault="00B476CB" w:rsidP="00B476CB">
      <w:pPr>
        <w:pStyle w:val="Body1"/>
        <w:ind w:left="720" w:hanging="720"/>
        <w:rPr>
          <w:rFonts w:eastAsia="Times New Roman"/>
        </w:rPr>
      </w:pPr>
    </w:p>
    <w:p w:rsidR="00B476CB" w:rsidRDefault="00B476CB" w:rsidP="00B476CB">
      <w:pPr>
        <w:pStyle w:val="Body1"/>
        <w:ind w:left="720" w:hanging="720"/>
      </w:pPr>
      <w:r>
        <w:t>Tavormina, P.L., V.J. Orphan, Marina K,</w:t>
      </w:r>
      <w:proofErr w:type="gramStart"/>
      <w:r>
        <w:t>  M</w:t>
      </w:r>
      <w:proofErr w:type="gramEnd"/>
      <w:r>
        <w:t xml:space="preserve">. </w:t>
      </w:r>
      <w:proofErr w:type="spellStart"/>
      <w:r>
        <w:t>Jetten</w:t>
      </w:r>
      <w:proofErr w:type="spellEnd"/>
      <w:r>
        <w:t xml:space="preserve">, M. Klotz (2010a) A novel family of functional </w:t>
      </w:r>
      <w:proofErr w:type="spellStart"/>
      <w:r>
        <w:t>operons</w:t>
      </w:r>
      <w:proofErr w:type="spellEnd"/>
      <w:r>
        <w:t xml:space="preserve"> encoding methane/ammonia </w:t>
      </w:r>
      <w:proofErr w:type="spellStart"/>
      <w:r>
        <w:t>monooxygenase</w:t>
      </w:r>
      <w:proofErr w:type="spellEnd"/>
      <w:r>
        <w:t>-related proteins in gamma-</w:t>
      </w:r>
      <w:proofErr w:type="spellStart"/>
      <w:r>
        <w:t>proteobacterial</w:t>
      </w:r>
      <w:proofErr w:type="spellEnd"/>
      <w:r>
        <w:t xml:space="preserve"> </w:t>
      </w:r>
      <w:proofErr w:type="spellStart"/>
      <w:r>
        <w:t>methanotrophs</w:t>
      </w:r>
      <w:proofErr w:type="spellEnd"/>
      <w:r>
        <w:t xml:space="preserve">. </w:t>
      </w:r>
      <w:r w:rsidRPr="00E44D4F">
        <w:rPr>
          <w:i/>
        </w:rPr>
        <w:t xml:space="preserve">Environ. </w:t>
      </w:r>
      <w:proofErr w:type="spellStart"/>
      <w:proofErr w:type="gramStart"/>
      <w:r w:rsidRPr="00E44D4F">
        <w:rPr>
          <w:i/>
        </w:rPr>
        <w:t>Microbiol</w:t>
      </w:r>
      <w:proofErr w:type="spellEnd"/>
      <w:r w:rsidRPr="00E44D4F">
        <w:rPr>
          <w:i/>
        </w:rPr>
        <w:t>.</w:t>
      </w:r>
      <w:proofErr w:type="gramEnd"/>
      <w:r w:rsidRPr="00E44D4F">
        <w:rPr>
          <w:i/>
        </w:rPr>
        <w:t xml:space="preserve"> Reports</w:t>
      </w:r>
      <w:r>
        <w:t xml:space="preserve"> 3:91-100.</w:t>
      </w:r>
    </w:p>
    <w:p w:rsidR="00B476CB" w:rsidRDefault="00B476CB" w:rsidP="00B476CB">
      <w:pPr>
        <w:outlineLvl w:val="0"/>
        <w:rPr>
          <w:rFonts w:eastAsia="ヒラギノ角ゴ Pro W3"/>
          <w:color w:val="000000"/>
        </w:rPr>
      </w:pPr>
    </w:p>
    <w:p w:rsidR="00B476CB" w:rsidRDefault="00B476CB" w:rsidP="00B476CB">
      <w:pPr>
        <w:pStyle w:val="Body1"/>
        <w:ind w:left="720" w:hanging="720"/>
        <w:rPr>
          <w:rFonts w:eastAsia="Times New Roman"/>
        </w:rPr>
      </w:pPr>
      <w:proofErr w:type="gramStart"/>
      <w:r>
        <w:rPr>
          <w:rFonts w:eastAsia="Times New Roman"/>
        </w:rPr>
        <w:t xml:space="preserve">Tavormina PL, Ussler W, </w:t>
      </w:r>
      <w:proofErr w:type="spellStart"/>
      <w:r>
        <w:rPr>
          <w:rFonts w:eastAsia="Times New Roman"/>
        </w:rPr>
        <w:t>Joye</w:t>
      </w:r>
      <w:proofErr w:type="spellEnd"/>
      <w:r>
        <w:rPr>
          <w:rFonts w:eastAsia="Times New Roman"/>
        </w:rPr>
        <w:t>, SB, Orphan VJ (2010b).</w:t>
      </w:r>
      <w:proofErr w:type="gramEnd"/>
      <w:r>
        <w:rPr>
          <w:rFonts w:eastAsia="Times New Roman"/>
        </w:rPr>
        <w:t xml:space="preserve"> </w:t>
      </w:r>
      <w:proofErr w:type="gramStart"/>
      <w:r>
        <w:rPr>
          <w:rFonts w:eastAsia="Times New Roman"/>
        </w:rPr>
        <w:t xml:space="preserve">Distributions of putative aerobic </w:t>
      </w:r>
      <w:proofErr w:type="spellStart"/>
      <w:r>
        <w:rPr>
          <w:rFonts w:eastAsia="Times New Roman"/>
        </w:rPr>
        <w:t>methanotrophs</w:t>
      </w:r>
      <w:proofErr w:type="spellEnd"/>
      <w:r>
        <w:rPr>
          <w:rFonts w:eastAsia="Times New Roman"/>
        </w:rPr>
        <w:t xml:space="preserve"> in diverse pelagic marine environments.</w:t>
      </w:r>
      <w:proofErr w:type="gramEnd"/>
      <w:r>
        <w:rPr>
          <w:rFonts w:eastAsia="Times New Roman"/>
        </w:rPr>
        <w:t xml:space="preserve"> </w:t>
      </w:r>
      <w:r>
        <w:rPr>
          <w:rFonts w:eastAsia="Times New Roman"/>
          <w:i/>
        </w:rPr>
        <w:t>ISME J.</w:t>
      </w:r>
      <w:r>
        <w:rPr>
          <w:rFonts w:eastAsia="Times New Roman"/>
        </w:rPr>
        <w:t xml:space="preserve"> 4:700-710.</w:t>
      </w:r>
    </w:p>
    <w:p w:rsidR="00B476CB" w:rsidRDefault="00B476CB" w:rsidP="00B476CB">
      <w:pPr>
        <w:pStyle w:val="Body1"/>
        <w:ind w:left="720" w:hanging="720"/>
      </w:pPr>
    </w:p>
    <w:p w:rsidR="00B476CB" w:rsidRDefault="00B476CB" w:rsidP="00B476CB">
      <w:pPr>
        <w:pStyle w:val="Body1"/>
        <w:ind w:left="720" w:hanging="720"/>
      </w:pPr>
      <w:proofErr w:type="gramStart"/>
      <w:r>
        <w:t xml:space="preserve">Ussler, W., P. </w:t>
      </w:r>
      <w:r w:rsidRPr="001B4CAE">
        <w:rPr>
          <w:rFonts w:eastAsia="Times New Roman"/>
        </w:rPr>
        <w:t>Tavormina</w:t>
      </w:r>
      <w:r>
        <w:t>, C. Preston, S. Shah, P. Girguis, J. Birch, V. Orphan, C. Scholin.</w:t>
      </w:r>
      <w:proofErr w:type="gramEnd"/>
      <w:r>
        <w:t xml:space="preserve">  </w:t>
      </w:r>
      <w:proofErr w:type="gramStart"/>
      <w:r>
        <w:t xml:space="preserve">Autonomous </w:t>
      </w:r>
      <w:proofErr w:type="spellStart"/>
      <w:r>
        <w:t>qPCR</w:t>
      </w:r>
      <w:proofErr w:type="spellEnd"/>
      <w:r>
        <w:t xml:space="preserve"> in the Deep Sea.</w:t>
      </w:r>
      <w:proofErr w:type="gramEnd"/>
      <w:r>
        <w:t xml:space="preserve">  (</w:t>
      </w:r>
      <w:proofErr w:type="gramStart"/>
      <w:r>
        <w:t>in</w:t>
      </w:r>
      <w:proofErr w:type="gramEnd"/>
      <w:r>
        <w:t xml:space="preserve"> prep for </w:t>
      </w:r>
      <w:r w:rsidRPr="00E44D4F">
        <w:rPr>
          <w:i/>
        </w:rPr>
        <w:t>Deep-Sea Research</w:t>
      </w:r>
      <w:r>
        <w:t>).</w:t>
      </w:r>
    </w:p>
    <w:p w:rsidR="00B476CB" w:rsidRDefault="00B476CB" w:rsidP="00B476CB">
      <w:pPr>
        <w:pStyle w:val="publications"/>
        <w:spacing w:after="0"/>
        <w:ind w:left="810" w:hanging="810"/>
      </w:pPr>
      <w:proofErr w:type="spellStart"/>
      <w:r>
        <w:t>Wankel</w:t>
      </w:r>
      <w:proofErr w:type="spellEnd"/>
      <w:r>
        <w:t>, S.D.,</w:t>
      </w:r>
      <w:proofErr w:type="gramStart"/>
      <w:r>
        <w:t xml:space="preserve">  </w:t>
      </w:r>
      <w:proofErr w:type="spellStart"/>
      <w:r>
        <w:t>Joye</w:t>
      </w:r>
      <w:proofErr w:type="spellEnd"/>
      <w:proofErr w:type="gramEnd"/>
      <w:r>
        <w:t xml:space="preserve">, S.B., </w:t>
      </w:r>
      <w:proofErr w:type="spellStart"/>
      <w:r>
        <w:t>Samarkin</w:t>
      </w:r>
      <w:proofErr w:type="spellEnd"/>
      <w:r>
        <w:t xml:space="preserve">, V.A., Shah, S.A., </w:t>
      </w:r>
      <w:proofErr w:type="spellStart"/>
      <w:r>
        <w:t>Friederich</w:t>
      </w:r>
      <w:proofErr w:type="spellEnd"/>
      <w:r>
        <w:t xml:space="preserve">, G., </w:t>
      </w:r>
      <w:proofErr w:type="spellStart"/>
      <w:r>
        <w:t>Kyriazi</w:t>
      </w:r>
      <w:proofErr w:type="spellEnd"/>
      <w:r>
        <w:t xml:space="preserve">, J., and Girguis, P.R.  2010.  New constraints on methane fluxes and rates of anaerobic methane oxidation in a Gulf of Mexico brine pool via </w:t>
      </w:r>
      <w:r>
        <w:rPr>
          <w:i/>
          <w:iCs/>
        </w:rPr>
        <w:t>in situ</w:t>
      </w:r>
      <w:r>
        <w:t xml:space="preserve"> mass spectrometry.  </w:t>
      </w:r>
      <w:r>
        <w:rPr>
          <w:i/>
          <w:iCs/>
        </w:rPr>
        <w:t>Deep Sea Research II.  </w:t>
      </w:r>
      <w:proofErr w:type="spellStart"/>
      <w:proofErr w:type="gramStart"/>
      <w:r>
        <w:t>doi</w:t>
      </w:r>
      <w:proofErr w:type="spellEnd"/>
      <w:proofErr w:type="gramEnd"/>
      <w:r>
        <w:t xml:space="preserve">: </w:t>
      </w:r>
      <w:r>
        <w:rPr>
          <w:i/>
          <w:iCs/>
        </w:rPr>
        <w:t>10.1016/j.dsr2.2010.05.009.</w:t>
      </w:r>
    </w:p>
    <w:p w:rsidR="00B476CB" w:rsidRDefault="00B476CB" w:rsidP="00B476CB">
      <w:pPr>
        <w:pStyle w:val="publications"/>
        <w:spacing w:after="0"/>
        <w:ind w:left="810" w:hanging="810"/>
      </w:pPr>
      <w:proofErr w:type="spellStart"/>
      <w:proofErr w:type="gramStart"/>
      <w:r>
        <w:lastRenderedPageBreak/>
        <w:t>Wankel</w:t>
      </w:r>
      <w:proofErr w:type="spellEnd"/>
      <w:r>
        <w:t xml:space="preserve">, S.D., </w:t>
      </w:r>
      <w:proofErr w:type="spellStart"/>
      <w:r>
        <w:t>Germanovich</w:t>
      </w:r>
      <w:proofErr w:type="spellEnd"/>
      <w:r>
        <w:t xml:space="preserve">, L.N., Lilley, M.D., </w:t>
      </w:r>
      <w:proofErr w:type="spellStart"/>
      <w:r>
        <w:t>Genc</w:t>
      </w:r>
      <w:proofErr w:type="spellEnd"/>
      <w:r>
        <w:t xml:space="preserve">, G., </w:t>
      </w:r>
      <w:proofErr w:type="spellStart"/>
      <w:r>
        <w:t>DiPerna</w:t>
      </w:r>
      <w:proofErr w:type="spellEnd"/>
      <w:r>
        <w:t>, C.J., Bradley, A.S., Olson, E.J., and Girguis, P.R.</w:t>
      </w:r>
      <w:proofErr w:type="gramEnd"/>
      <w:r>
        <w:t xml:space="preserve">  2011.  Geochemical fluxes from low-temperature hydrothermal vents influenced by subsurface biosphere.  </w:t>
      </w:r>
      <w:proofErr w:type="gramStart"/>
      <w:r>
        <w:rPr>
          <w:i/>
          <w:iCs/>
        </w:rPr>
        <w:t>Nature Geosciences</w:t>
      </w:r>
      <w:r>
        <w:t>.</w:t>
      </w:r>
      <w:proofErr w:type="gramEnd"/>
      <w:r>
        <w:t xml:space="preserve">  </w:t>
      </w:r>
      <w:proofErr w:type="spellStart"/>
      <w:proofErr w:type="gramStart"/>
      <w:r>
        <w:t>doi</w:t>
      </w:r>
      <w:proofErr w:type="spellEnd"/>
      <w:proofErr w:type="gramEnd"/>
      <w:r>
        <w:t>: 10.1038/Ngeo1183</w:t>
      </w:r>
    </w:p>
    <w:p w:rsidR="00B476CB" w:rsidRDefault="00B476CB" w:rsidP="00B476CB">
      <w:pPr>
        <w:ind w:left="810" w:hanging="810"/>
        <w:rPr>
          <w:i/>
          <w:iCs/>
        </w:rPr>
      </w:pPr>
      <w:proofErr w:type="spellStart"/>
      <w:r>
        <w:t>Wankel</w:t>
      </w:r>
      <w:proofErr w:type="spellEnd"/>
      <w:r>
        <w:t>, S.D.,</w:t>
      </w:r>
      <w:proofErr w:type="gramStart"/>
      <w:r>
        <w:t>  Adams</w:t>
      </w:r>
      <w:proofErr w:type="gramEnd"/>
      <w:r>
        <w:t>, M.A., </w:t>
      </w:r>
      <w:proofErr w:type="spellStart"/>
      <w:r>
        <w:t>Joye</w:t>
      </w:r>
      <w:proofErr w:type="spellEnd"/>
      <w:r>
        <w:t>, S.B., and Girguis, P.R.  </w:t>
      </w:r>
      <w:proofErr w:type="gramStart"/>
      <w:r>
        <w:rPr>
          <w:i/>
          <w:iCs/>
        </w:rPr>
        <w:t>In review.</w:t>
      </w:r>
      <w:proofErr w:type="gramEnd"/>
      <w:r>
        <w:t xml:space="preserve">  </w:t>
      </w:r>
      <w:proofErr w:type="gramStart"/>
      <w:r>
        <w:t xml:space="preserve">The role of anaerobic methane oxidation in governing carbon flux from </w:t>
      </w:r>
      <w:proofErr w:type="spellStart"/>
      <w:r>
        <w:t>metalliferous</w:t>
      </w:r>
      <w:proofErr w:type="spellEnd"/>
      <w:r>
        <w:t xml:space="preserve"> hydrothermal vent sediments.</w:t>
      </w:r>
      <w:proofErr w:type="gramEnd"/>
      <w:r>
        <w:t xml:space="preserve">  </w:t>
      </w:r>
      <w:proofErr w:type="gramStart"/>
      <w:r>
        <w:rPr>
          <w:i/>
          <w:iCs/>
        </w:rPr>
        <w:t>Environmental Microbiology.</w:t>
      </w:r>
      <w:proofErr w:type="gramEnd"/>
    </w:p>
    <w:p w:rsidR="00B476CB" w:rsidRDefault="00B476CB" w:rsidP="00B476CB">
      <w:pPr>
        <w:ind w:left="810" w:hanging="810"/>
      </w:pPr>
    </w:p>
    <w:p w:rsidR="00B476CB" w:rsidRDefault="00B476CB" w:rsidP="00B476CB">
      <w:pPr>
        <w:pStyle w:val="Body1"/>
        <w:ind w:left="720" w:hanging="720"/>
        <w:rPr>
          <w:sz w:val="22"/>
        </w:rPr>
      </w:pPr>
      <w:proofErr w:type="gramStart"/>
      <w:r w:rsidRPr="00FF7B4C">
        <w:rPr>
          <w:rFonts w:eastAsia="Times New Roman"/>
        </w:rPr>
        <w:t>Zehr, J.P., J. Robidart and C. Scholin.</w:t>
      </w:r>
      <w:proofErr w:type="gramEnd"/>
      <w:r w:rsidRPr="00FF7B4C">
        <w:rPr>
          <w:rFonts w:eastAsia="Times New Roman"/>
        </w:rPr>
        <w:t xml:space="preserve"> 2011.  Marine microorganisms, biogeochemical cycles, and global climate change.  </w:t>
      </w:r>
      <w:r w:rsidRPr="00FF7B4C">
        <w:rPr>
          <w:rFonts w:eastAsia="Times New Roman"/>
          <w:i/>
        </w:rPr>
        <w:t>Microbe</w:t>
      </w:r>
      <w:r w:rsidRPr="00FF7B4C">
        <w:rPr>
          <w:rFonts w:eastAsia="Times New Roman"/>
        </w:rPr>
        <w:t xml:space="preserve"> 6(4) 169-175</w:t>
      </w:r>
      <w:r>
        <w:rPr>
          <w:rFonts w:eastAsia="Times New Roman"/>
        </w:rPr>
        <w:t>.</w:t>
      </w:r>
      <w:r>
        <w:rPr>
          <w:rFonts w:eastAsia="Times New Roman"/>
          <w:sz w:val="22"/>
        </w:rPr>
        <w:t xml:space="preserve"> (</w:t>
      </w:r>
      <w:hyperlink r:id="rId11" w:history="1">
        <w:r>
          <w:rPr>
            <w:rFonts w:eastAsia="Times New Roman"/>
            <w:color w:val="0000FF"/>
            <w:sz w:val="22"/>
            <w:u w:val="single"/>
          </w:rPr>
          <w:t>http://microbemagazine.org/index.php/01-2011-home/3280-marine-microorganisms-biogeochemical-cycles-and-global-climate-change</w:t>
        </w:r>
      </w:hyperlink>
      <w:r>
        <w:rPr>
          <w:rFonts w:eastAsia="Times New Roman"/>
          <w:sz w:val="22"/>
        </w:rPr>
        <w:t>)</w:t>
      </w:r>
    </w:p>
    <w:p w:rsidR="00B476CB" w:rsidRDefault="00B476CB" w:rsidP="00B476CB">
      <w:pPr>
        <w:outlineLvl w:val="0"/>
        <w:rPr>
          <w:rFonts w:eastAsia="ヒラギノ角ゴ Pro W3"/>
          <w:color w:val="000000"/>
        </w:rPr>
      </w:pPr>
    </w:p>
    <w:p w:rsidR="00B476CB" w:rsidRDefault="00B476CB" w:rsidP="00B476CB">
      <w:pPr>
        <w:outlineLvl w:val="0"/>
        <w:rPr>
          <w:rFonts w:eastAsia="ヒラギノ角ゴ Pro W3"/>
          <w:color w:val="000000"/>
        </w:rPr>
      </w:pPr>
    </w:p>
    <w:p w:rsidR="00B476CB" w:rsidRDefault="00B476CB" w:rsidP="00B476CB">
      <w:pPr>
        <w:spacing w:after="120"/>
        <w:outlineLvl w:val="0"/>
        <w:rPr>
          <w:rFonts w:eastAsia="ヒラギノ角ゴ Pro W3"/>
          <w:b/>
          <w:color w:val="000000"/>
        </w:rPr>
      </w:pPr>
      <w:proofErr w:type="gramStart"/>
      <w:r>
        <w:rPr>
          <w:b/>
          <w:color w:val="000000"/>
        </w:rPr>
        <w:t>5.5  New</w:t>
      </w:r>
      <w:proofErr w:type="gramEnd"/>
      <w:r>
        <w:rPr>
          <w:b/>
          <w:color w:val="000000"/>
        </w:rPr>
        <w:t xml:space="preserve"> blog/outreach web links </w:t>
      </w:r>
    </w:p>
    <w:p w:rsidR="00B476CB" w:rsidRDefault="00B476CB" w:rsidP="00B476CB">
      <w:pPr>
        <w:spacing w:after="120"/>
        <w:ind w:left="360" w:hanging="360"/>
        <w:outlineLvl w:val="0"/>
        <w:rPr>
          <w:color w:val="000000"/>
        </w:rPr>
      </w:pPr>
      <w:hyperlink r:id="rId12" w:history="1">
        <w:r>
          <w:rPr>
            <w:color w:val="0000FF"/>
            <w:u w:val="single"/>
          </w:rPr>
          <w:t>http://www.mbari.org/expeditions/Northern11/index.htm</w:t>
        </w:r>
      </w:hyperlink>
      <w:r>
        <w:rPr>
          <w:color w:val="000000"/>
        </w:rPr>
        <w:t xml:space="preserve"> (Axial expedition cruise blog, Leg 1)</w:t>
      </w:r>
    </w:p>
    <w:p w:rsidR="00B476CB" w:rsidRDefault="00B476CB" w:rsidP="00B476CB">
      <w:pPr>
        <w:spacing w:after="120"/>
        <w:ind w:left="360" w:hanging="360"/>
        <w:outlineLvl w:val="0"/>
        <w:rPr>
          <w:rFonts w:eastAsia="ヒラギノ角ゴ Pro W3"/>
          <w:color w:val="000000"/>
        </w:rPr>
      </w:pPr>
      <w:hyperlink r:id="rId13" w:history="1">
        <w:r w:rsidRPr="00975D43">
          <w:rPr>
            <w:rStyle w:val="Hyperlink"/>
          </w:rPr>
          <w:t>http://www.mbari.org/staff/methane/ashes_highlights/ashes_highlights.html</w:t>
        </w:r>
      </w:hyperlink>
      <w:r>
        <w:t xml:space="preserve"> (video clip highlighting some of the D-ESP elevator operations)</w:t>
      </w:r>
    </w:p>
    <w:p w:rsidR="00B476CB" w:rsidRDefault="00B476CB" w:rsidP="00B476CB">
      <w:pPr>
        <w:spacing w:after="120"/>
        <w:ind w:left="360" w:hanging="360"/>
        <w:outlineLvl w:val="0"/>
        <w:rPr>
          <w:rFonts w:eastAsia="ヒラギノ角ゴ Pro W3"/>
          <w:color w:val="000000"/>
        </w:rPr>
      </w:pPr>
      <w:hyperlink r:id="rId14" w:history="1">
        <w:r>
          <w:rPr>
            <w:color w:val="0000FF"/>
            <w:u w:val="single"/>
          </w:rPr>
          <w:t>http://www.mbari.org/expeditions/BioLINCS/index.htm</w:t>
        </w:r>
      </w:hyperlink>
      <w:r>
        <w:rPr>
          <w:color w:val="000000"/>
        </w:rPr>
        <w:t xml:space="preserve"> (leveraged activity - free drifting PCR-enabled ESP; same type of instrument and methods deployed on coastal mooring and at Axial) </w:t>
      </w:r>
    </w:p>
    <w:p w:rsidR="00B476CB" w:rsidRDefault="00B476CB" w:rsidP="00B476CB">
      <w:pPr>
        <w:spacing w:after="120"/>
        <w:ind w:left="360" w:hanging="360"/>
        <w:outlineLvl w:val="0"/>
        <w:rPr>
          <w:rFonts w:eastAsia="ヒラギノ角ゴ Pro W3"/>
          <w:color w:val="000000"/>
        </w:rPr>
      </w:pPr>
      <w:hyperlink r:id="rId15" w:history="1">
        <w:r>
          <w:rPr>
            <w:color w:val="0000FF"/>
            <w:u w:val="single"/>
          </w:rPr>
          <w:t>http://centerforoceansolutions.com/initiatives/land-sea-initiative/rapid-detection-harmful-microbes-seawater</w:t>
        </w:r>
      </w:hyperlink>
      <w:r>
        <w:rPr>
          <w:color w:val="000000"/>
        </w:rPr>
        <w:t xml:space="preserve"> (example of knowledge transfer – using PCR-enabled ESP as a model for automating water quality analysis)</w:t>
      </w:r>
    </w:p>
    <w:p w:rsidR="00B476CB" w:rsidRDefault="00B476CB" w:rsidP="00B476CB">
      <w:pPr>
        <w:spacing w:after="120"/>
        <w:outlineLvl w:val="0"/>
        <w:rPr>
          <w:b/>
          <w:color w:val="000000"/>
        </w:rPr>
      </w:pPr>
    </w:p>
    <w:p w:rsidR="00B476CB" w:rsidRDefault="00B476CB" w:rsidP="00B476CB">
      <w:pPr>
        <w:spacing w:after="120"/>
        <w:outlineLvl w:val="0"/>
        <w:rPr>
          <w:rFonts w:eastAsia="ヒラギノ角ゴ Pro W3"/>
          <w:b/>
          <w:color w:val="000000"/>
        </w:rPr>
      </w:pPr>
      <w:r>
        <w:rPr>
          <w:b/>
          <w:color w:val="000000"/>
        </w:rPr>
        <w:t>6.0 References cited outside of those supported in whole or in part by this grant</w:t>
      </w:r>
    </w:p>
    <w:p w:rsidR="00B476CB" w:rsidRDefault="00B476CB" w:rsidP="00B476CB">
      <w:pPr>
        <w:pStyle w:val="Body1"/>
        <w:ind w:left="720" w:hanging="720"/>
        <w:rPr>
          <w:rFonts w:eastAsia="Times New Roman"/>
        </w:rPr>
      </w:pPr>
      <w:proofErr w:type="spellStart"/>
      <w:r w:rsidRPr="00FF7B4C">
        <w:rPr>
          <w:rFonts w:eastAsia="Times New Roman"/>
        </w:rPr>
        <w:t>Heintz</w:t>
      </w:r>
      <w:proofErr w:type="spellEnd"/>
      <w:r w:rsidRPr="00FF7B4C">
        <w:rPr>
          <w:rFonts w:eastAsia="Times New Roman"/>
        </w:rPr>
        <w:t xml:space="preserve">, M et al. (2008) </w:t>
      </w:r>
      <w:r>
        <w:rPr>
          <w:rFonts w:eastAsia="Times New Roman"/>
        </w:rPr>
        <w:t>M</w:t>
      </w:r>
      <w:r w:rsidRPr="00FF7B4C">
        <w:rPr>
          <w:rFonts w:eastAsia="Times New Roman"/>
        </w:rPr>
        <w:t>ethane consumption in waters overlying a hydrate</w:t>
      </w:r>
      <w:r>
        <w:rPr>
          <w:rFonts w:eastAsia="Times New Roman"/>
        </w:rPr>
        <w:t xml:space="preserve"> </w:t>
      </w:r>
      <w:r w:rsidRPr="00FF7B4C">
        <w:rPr>
          <w:rFonts w:eastAsia="Times New Roman"/>
        </w:rPr>
        <w:t xml:space="preserve">associated </w:t>
      </w:r>
      <w:r>
        <w:rPr>
          <w:rFonts w:eastAsia="Times New Roman"/>
        </w:rPr>
        <w:t>mound in the Santa M</w:t>
      </w:r>
      <w:r w:rsidRPr="00FF7B4C">
        <w:rPr>
          <w:rFonts w:eastAsia="Times New Roman"/>
        </w:rPr>
        <w:t>onica basin: a project</w:t>
      </w:r>
      <w:r>
        <w:rPr>
          <w:rFonts w:eastAsia="Times New Roman"/>
        </w:rPr>
        <w:t xml:space="preserve"> </w:t>
      </w:r>
      <w:r w:rsidRPr="00FF7B4C">
        <w:rPr>
          <w:rFonts w:eastAsia="Times New Roman"/>
        </w:rPr>
        <w:t>synopsis</w:t>
      </w:r>
      <w:r>
        <w:rPr>
          <w:rFonts w:eastAsia="Times New Roman"/>
        </w:rPr>
        <w:t>.</w:t>
      </w:r>
      <w:r w:rsidRPr="00FF7B4C">
        <w:rPr>
          <w:rFonts w:eastAsia="Times New Roman"/>
        </w:rPr>
        <w:t xml:space="preserve"> Proceedings of the 6th International Conference on Gas Hydrates (ICGH 2008),</w:t>
      </w:r>
      <w:r>
        <w:rPr>
          <w:rFonts w:eastAsia="Times New Roman"/>
        </w:rPr>
        <w:t xml:space="preserve"> </w:t>
      </w:r>
      <w:r w:rsidRPr="00FF7B4C">
        <w:rPr>
          <w:rFonts w:eastAsia="Times New Roman"/>
        </w:rPr>
        <w:t>Vancouver, British Columbia, CANADA, July 6-10, 2008.</w:t>
      </w:r>
    </w:p>
    <w:p w:rsidR="00B476CB" w:rsidRPr="00F56085" w:rsidRDefault="00B476CB" w:rsidP="00B476CB">
      <w:pPr>
        <w:pStyle w:val="Body1"/>
        <w:ind w:left="720" w:hanging="720"/>
        <w:rPr>
          <w:rFonts w:eastAsia="Times New Roman"/>
        </w:rPr>
      </w:pPr>
    </w:p>
    <w:p w:rsidR="00B476CB" w:rsidRDefault="00B476CB" w:rsidP="00B476CB">
      <w:pPr>
        <w:pStyle w:val="Body1"/>
        <w:ind w:left="720" w:hanging="720"/>
        <w:rPr>
          <w:rFonts w:eastAsia="Times New Roman"/>
          <w:i/>
        </w:rPr>
      </w:pPr>
      <w:r>
        <w:rPr>
          <w:rFonts w:eastAsia="Times New Roman"/>
        </w:rPr>
        <w:t>Scholin, C, G. Doucette, S. Jensen, B. Roman, D. Pargett, R. Marin III,</w:t>
      </w:r>
      <w:r>
        <w:rPr>
          <w:rFonts w:eastAsia="Times New Roman"/>
          <w:vertAlign w:val="superscript"/>
        </w:rPr>
        <w:t xml:space="preserve"> </w:t>
      </w:r>
      <w:r>
        <w:rPr>
          <w:rFonts w:eastAsia="Times New Roman"/>
        </w:rPr>
        <w:t xml:space="preserve">C. Preston, W. Jones, J. Feldman, C. Everlove, A. Harris, N. Alvarado, E. Massion, J. Birch, D. Greenfield, R. Vrijenhoek, C. Mikulski, K. Jones.  2009.  Remote detection of marine microbes, small invertebrates, harmful algae and </w:t>
      </w:r>
      <w:proofErr w:type="spellStart"/>
      <w:r>
        <w:rPr>
          <w:rFonts w:eastAsia="Times New Roman"/>
        </w:rPr>
        <w:t>biotoxins</w:t>
      </w:r>
      <w:proofErr w:type="spellEnd"/>
      <w:r>
        <w:rPr>
          <w:rFonts w:eastAsia="Times New Roman"/>
        </w:rPr>
        <w:t xml:space="preserve"> using the Environmental Sample Processor (ESP).  </w:t>
      </w:r>
      <w:r>
        <w:rPr>
          <w:rFonts w:eastAsia="Times New Roman"/>
          <w:i/>
        </w:rPr>
        <w:t xml:space="preserve">Oceanography </w:t>
      </w:r>
      <w:r>
        <w:rPr>
          <w:rFonts w:eastAsia="Times New Roman"/>
        </w:rPr>
        <w:t>22:158-167</w:t>
      </w:r>
      <w:r>
        <w:rPr>
          <w:rFonts w:eastAsia="Times New Roman"/>
          <w:i/>
        </w:rPr>
        <w:t>.</w:t>
      </w:r>
    </w:p>
    <w:p w:rsidR="00B476CB" w:rsidRDefault="00B476CB" w:rsidP="00B476CB">
      <w:pPr>
        <w:pStyle w:val="Body1"/>
        <w:ind w:left="720" w:hanging="720"/>
        <w:rPr>
          <w:rFonts w:eastAsia="Times New Roman"/>
          <w:i/>
        </w:rPr>
      </w:pPr>
    </w:p>
    <w:p w:rsidR="00B476CB" w:rsidRPr="002427B2" w:rsidRDefault="00B476CB" w:rsidP="00B476CB">
      <w:pPr>
        <w:pStyle w:val="Body1"/>
        <w:ind w:left="720" w:hanging="720"/>
        <w:rPr>
          <w:i/>
          <w:szCs w:val="24"/>
        </w:rPr>
      </w:pPr>
      <w:r w:rsidRPr="002427B2">
        <w:rPr>
          <w:szCs w:val="24"/>
        </w:rPr>
        <w:t>Y. Zhang, R. S. McEwen, J. P. Ryan, and J. G. Bellingham</w:t>
      </w:r>
      <w:r>
        <w:rPr>
          <w:szCs w:val="24"/>
        </w:rPr>
        <w:t>. 2010.</w:t>
      </w:r>
      <w:r w:rsidRPr="002427B2">
        <w:rPr>
          <w:szCs w:val="24"/>
        </w:rPr>
        <w:t xml:space="preserve"> </w:t>
      </w:r>
      <w:r w:rsidRPr="00FC5ACE">
        <w:rPr>
          <w:szCs w:val="24"/>
        </w:rPr>
        <w:t>Design and Tests of an Adaptive Triggering Method for Capturing Peak Samples in a Thin Phytoplankton Layer by an</w:t>
      </w:r>
      <w:r>
        <w:rPr>
          <w:szCs w:val="24"/>
        </w:rPr>
        <w:t xml:space="preserve"> Autonomous Underwater Vehicle</w:t>
      </w:r>
      <w:r w:rsidRPr="002427B2">
        <w:rPr>
          <w:szCs w:val="24"/>
        </w:rPr>
        <w:t xml:space="preserve"> </w:t>
      </w:r>
      <w:r w:rsidRPr="002427B2">
        <w:rPr>
          <w:i/>
          <w:iCs/>
          <w:szCs w:val="24"/>
        </w:rPr>
        <w:t>IEEE Journal of Oceanic Engineering</w:t>
      </w:r>
      <w:r>
        <w:rPr>
          <w:szCs w:val="24"/>
        </w:rPr>
        <w:t xml:space="preserve">, Vol. 35, No. 4, pp. 785-796; </w:t>
      </w:r>
      <w:r w:rsidRPr="002427B2">
        <w:rPr>
          <w:szCs w:val="24"/>
        </w:rPr>
        <w:t>DOI: 10.1109/JOE.2010.2081031 .</w:t>
      </w:r>
    </w:p>
    <w:p w:rsidR="00B476CB" w:rsidRDefault="00B476CB" w:rsidP="00B476CB">
      <w:pPr>
        <w:pStyle w:val="Body1"/>
        <w:ind w:left="720" w:hanging="720"/>
      </w:pPr>
    </w:p>
    <w:p w:rsidR="00B476CB" w:rsidRDefault="00B476CB"/>
    <w:sectPr w:rsidR="00B476CB" w:rsidSect="005A5F9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ヒラギノ角ゴ Pro W3">
    <w:altName w:val="ヒラギノ角ゴ Pro W3"/>
    <w:charset w:val="4E"/>
    <w:family w:val="auto"/>
    <w:pitch w:val="variable"/>
    <w:sig w:usb0="00000001" w:usb1="00000000" w:usb2="01000407" w:usb3="00000000" w:csb0="0002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B476CB"/>
    <w:rsid w:val="003E7E23"/>
    <w:rsid w:val="005A5F93"/>
    <w:rsid w:val="00B476CB"/>
    <w:rsid w:val="00CF03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6C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B476CB"/>
    <w:pPr>
      <w:spacing w:after="0" w:line="240" w:lineRule="auto"/>
      <w:outlineLvl w:val="0"/>
    </w:pPr>
    <w:rPr>
      <w:rFonts w:ascii="Times New Roman" w:eastAsia="ヒラギノ角ゴ Pro W3" w:hAnsi="Times New Roman" w:cs="Times New Roman"/>
      <w:color w:val="000000"/>
      <w:sz w:val="24"/>
      <w:szCs w:val="20"/>
    </w:rPr>
  </w:style>
  <w:style w:type="character" w:styleId="Hyperlink">
    <w:name w:val="Hyperlink"/>
    <w:basedOn w:val="DefaultParagraphFont"/>
    <w:rsid w:val="00B476CB"/>
    <w:rPr>
      <w:color w:val="0000FF"/>
      <w:u w:val="single"/>
    </w:rPr>
  </w:style>
  <w:style w:type="paragraph" w:styleId="BalloonText">
    <w:name w:val="Balloon Text"/>
    <w:basedOn w:val="Normal"/>
    <w:link w:val="BalloonTextChar"/>
    <w:uiPriority w:val="99"/>
    <w:semiHidden/>
    <w:unhideWhenUsed/>
    <w:rsid w:val="00B476CB"/>
    <w:rPr>
      <w:rFonts w:ascii="Tahoma" w:hAnsi="Tahoma" w:cs="Tahoma"/>
      <w:sz w:val="16"/>
      <w:szCs w:val="16"/>
    </w:rPr>
  </w:style>
  <w:style w:type="character" w:customStyle="1" w:styleId="BalloonTextChar">
    <w:name w:val="Balloon Text Char"/>
    <w:basedOn w:val="DefaultParagraphFont"/>
    <w:link w:val="BalloonText"/>
    <w:uiPriority w:val="99"/>
    <w:semiHidden/>
    <w:rsid w:val="00B476CB"/>
    <w:rPr>
      <w:rFonts w:ascii="Tahoma" w:eastAsia="Times New Roman" w:hAnsi="Tahoma" w:cs="Tahoma"/>
      <w:sz w:val="16"/>
      <w:szCs w:val="16"/>
    </w:rPr>
  </w:style>
  <w:style w:type="paragraph" w:customStyle="1" w:styleId="publications">
    <w:name w:val="publications"/>
    <w:basedOn w:val="Normal"/>
    <w:rsid w:val="00B476CB"/>
    <w:pPr>
      <w:spacing w:before="100" w:beforeAutospacing="1" w:after="100" w:afterAutospacing="1"/>
    </w:pPr>
    <w:rPr>
      <w:rFonts w:eastAsiaTheme="minorHAnsi"/>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mbari.org/staff/methane/ashes_highlights/ashes_highlights.html"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http://www.mbari.org/expeditions/Northern11/index.ht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microbemagazine.org/index.php/01-2011-home/3280-marine-microorganisms-biogeochemical-cycles-and-global-climate-change" TargetMode="External"/><Relationship Id="rId5" Type="http://schemas.openxmlformats.org/officeDocument/2006/relationships/image" Target="media/image1.jpeg"/><Relationship Id="rId15" Type="http://schemas.openxmlformats.org/officeDocument/2006/relationships/hyperlink" Target="http://centerforoceansolutions.com/initiatives/land-sea-initiative/rapid-detection-harmful-microbes-seawater" TargetMode="External"/><Relationship Id="rId10" Type="http://schemas.openxmlformats.org/officeDocument/2006/relationships/image" Target="media/image6.png"/><Relationship Id="rId4" Type="http://schemas.openxmlformats.org/officeDocument/2006/relationships/hyperlink" Target="http://www.mbari.org/staff/methane/ashes_highlights/ashes_highlights.html" TargetMode="External"/><Relationship Id="rId9" Type="http://schemas.openxmlformats.org/officeDocument/2006/relationships/image" Target="media/image5.jpeg"/><Relationship Id="rId14" Type="http://schemas.openxmlformats.org/officeDocument/2006/relationships/hyperlink" Target="http://www.mbari.org/expeditions/BioLINCS/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1647</Words>
  <Characters>9393</Characters>
  <Application>Microsoft Office Word</Application>
  <DocSecurity>0</DocSecurity>
  <Lines>78</Lines>
  <Paragraphs>22</Paragraphs>
  <ScaleCrop>false</ScaleCrop>
  <Company>MBARI</Company>
  <LinksUpToDate>false</LinksUpToDate>
  <CharactersWithSpaces>11018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meteor</dc:creator>
  <cp:keywords/>
  <dc:description/>
  <cp:lastModifiedBy>meteor</cp:lastModifiedBy>
  <cp:revision>2</cp:revision>
  <dcterms:created xsi:type="dcterms:W3CDTF">2013-04-23T20:45:00Z</dcterms:created>
  <dcterms:modified xsi:type="dcterms:W3CDTF">2013-04-23T20:47:00Z</dcterms:modified>
</cp:coreProperties>
</file>