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2CF004D" w14:textId="77777777" w:rsidR="00076326" w:rsidRDefault="008F540B">
      <w:r>
        <w:rPr>
          <w:b/>
        </w:rPr>
        <w:t>Applicant and Project Information</w:t>
      </w:r>
    </w:p>
    <w:p w14:paraId="42CF004E" w14:textId="77777777" w:rsidR="00076326" w:rsidRDefault="00076326"/>
    <w:p w14:paraId="42CF004F" w14:textId="77777777" w:rsidR="00076326" w:rsidRDefault="008F540B">
      <w:pPr>
        <w:numPr>
          <w:ilvl w:val="1"/>
          <w:numId w:val="1"/>
        </w:numPr>
        <w:ind w:hanging="360"/>
      </w:pPr>
      <w:r>
        <w:rPr>
          <w:b/>
        </w:rPr>
        <w:t xml:space="preserve">Project Title: </w:t>
      </w:r>
    </w:p>
    <w:p w14:paraId="42CF0050" w14:textId="77777777" w:rsidR="00076326" w:rsidRDefault="008F540B">
      <w:pPr>
        <w:numPr>
          <w:ilvl w:val="1"/>
          <w:numId w:val="1"/>
        </w:numPr>
        <w:spacing w:before="280"/>
        <w:ind w:hanging="360"/>
      </w:pPr>
      <w:r>
        <w:rPr>
          <w:b/>
        </w:rPr>
        <w:t xml:space="preserve">Applicant Information: </w:t>
      </w:r>
    </w:p>
    <w:p w14:paraId="42CF0051" w14:textId="77777777" w:rsidR="00076326" w:rsidRDefault="006A64CD">
      <w:pPr>
        <w:ind w:left="1440"/>
      </w:pPr>
      <w:r>
        <w:t>Institute/school:</w:t>
      </w:r>
    </w:p>
    <w:p w14:paraId="42CF0052" w14:textId="77777777" w:rsidR="006A64CD" w:rsidRDefault="006A64CD">
      <w:pPr>
        <w:ind w:left="1440"/>
      </w:pPr>
      <w:r>
        <w:t>Phone:</w:t>
      </w:r>
    </w:p>
    <w:p w14:paraId="42CF0053" w14:textId="77777777" w:rsidR="006A64CD" w:rsidRDefault="006A64CD">
      <w:pPr>
        <w:ind w:left="1440"/>
      </w:pPr>
      <w:r>
        <w:t>Email:</w:t>
      </w:r>
    </w:p>
    <w:p w14:paraId="42CF0054" w14:textId="77777777" w:rsidR="00076326" w:rsidRDefault="008F540B" w:rsidP="006A64CD">
      <w:pPr>
        <w:ind w:left="1440"/>
      </w:pPr>
      <w:r>
        <w:rPr>
          <w:rFonts w:ascii="Calibri" w:eastAsia="Calibri" w:hAnsi="Calibri" w:cs="Calibri"/>
        </w:rPr>
        <w:t xml:space="preserve">Co-Applicant: </w:t>
      </w:r>
    </w:p>
    <w:p w14:paraId="42CF0055" w14:textId="77777777" w:rsidR="00076326" w:rsidRDefault="00076326">
      <w:pPr>
        <w:ind w:left="1440"/>
      </w:pPr>
    </w:p>
    <w:p w14:paraId="42CF0056" w14:textId="77777777" w:rsidR="00076326" w:rsidRDefault="008F540B">
      <w:pPr>
        <w:ind w:left="1440"/>
      </w:pPr>
      <w:r>
        <w:rPr>
          <w:rFonts w:ascii="Calibri" w:eastAsia="Calibri" w:hAnsi="Calibri" w:cs="Calibri"/>
        </w:rPr>
        <w:t>Others Authorized to work:</w:t>
      </w:r>
    </w:p>
    <w:p w14:paraId="42CF0057" w14:textId="77777777" w:rsidR="00076326" w:rsidRDefault="00076326">
      <w:pPr>
        <w:ind w:left="1440"/>
      </w:pPr>
    </w:p>
    <w:p w14:paraId="42CF0058" w14:textId="77777777" w:rsidR="00076326" w:rsidRDefault="00076326">
      <w:pPr>
        <w:ind w:left="1440"/>
      </w:pPr>
    </w:p>
    <w:p w14:paraId="42CF0059" w14:textId="77777777" w:rsidR="00076326" w:rsidRDefault="008F540B" w:rsidP="00285F6B">
      <w:pPr>
        <w:numPr>
          <w:ilvl w:val="1"/>
          <w:numId w:val="1"/>
        </w:numPr>
        <w:ind w:hanging="360"/>
        <w:contextualSpacing/>
      </w:pPr>
      <w:r w:rsidRPr="006A64CD">
        <w:rPr>
          <w:b/>
        </w:rPr>
        <w:t>Project Abstract:</w:t>
      </w:r>
      <w:r>
        <w:t xml:space="preserve"> </w:t>
      </w:r>
    </w:p>
    <w:p w14:paraId="42CF005A" w14:textId="77777777" w:rsidR="00076326" w:rsidRDefault="008F540B" w:rsidP="00273FD1">
      <w:pPr>
        <w:numPr>
          <w:ilvl w:val="1"/>
          <w:numId w:val="1"/>
        </w:numPr>
        <w:ind w:hanging="360"/>
      </w:pPr>
      <w:r w:rsidRPr="006A64CD">
        <w:rPr>
          <w:b/>
        </w:rPr>
        <w:t>Objectives:</w:t>
      </w:r>
      <w:r>
        <w:t xml:space="preserve"> </w:t>
      </w:r>
    </w:p>
    <w:p w14:paraId="42CF005B" w14:textId="77777777" w:rsidR="00E57F85" w:rsidRDefault="008F540B" w:rsidP="00E57F85">
      <w:pPr>
        <w:numPr>
          <w:ilvl w:val="1"/>
          <w:numId w:val="1"/>
        </w:numPr>
        <w:spacing w:after="280"/>
        <w:ind w:hanging="360"/>
      </w:pPr>
      <w:r w:rsidRPr="006A64CD">
        <w:rPr>
          <w:b/>
        </w:rPr>
        <w:t>Intended Use of Results:</w:t>
      </w:r>
      <w:r>
        <w:t xml:space="preserve"> </w:t>
      </w:r>
    </w:p>
    <w:p w14:paraId="42CF005C" w14:textId="77777777" w:rsidR="00E57F85" w:rsidRDefault="00E57F85">
      <w:pPr>
        <w:numPr>
          <w:ilvl w:val="1"/>
          <w:numId w:val="1"/>
        </w:numPr>
        <w:spacing w:after="280"/>
        <w:ind w:hanging="360"/>
      </w:pPr>
    </w:p>
    <w:p w14:paraId="42CF005D" w14:textId="77777777" w:rsidR="00076326" w:rsidRDefault="008F540B">
      <w:r>
        <w:rPr>
          <w:b/>
        </w:rPr>
        <w:t>Methods</w:t>
      </w:r>
      <w:r>
        <w:t xml:space="preserve"> </w:t>
      </w:r>
    </w:p>
    <w:p w14:paraId="42CF005E" w14:textId="77777777" w:rsidR="00076326" w:rsidRDefault="00076326"/>
    <w:p w14:paraId="42CF005F" w14:textId="77777777" w:rsidR="00076326" w:rsidRDefault="008F540B">
      <w:pPr>
        <w:numPr>
          <w:ilvl w:val="1"/>
          <w:numId w:val="3"/>
        </w:numPr>
        <w:ind w:hanging="360"/>
      </w:pPr>
      <w:r>
        <w:rPr>
          <w:b/>
        </w:rPr>
        <w:t>Procedures:</w:t>
      </w:r>
      <w:r>
        <w:t xml:space="preserve"> </w:t>
      </w:r>
    </w:p>
    <w:p w14:paraId="42CF0060" w14:textId="77777777" w:rsidR="00076326" w:rsidRDefault="00076326"/>
    <w:p w14:paraId="42CF0061" w14:textId="77777777" w:rsidR="00076326" w:rsidRDefault="008F540B">
      <w:pPr>
        <w:ind w:left="1440"/>
      </w:pPr>
      <w:r>
        <w:rPr>
          <w:rFonts w:ascii="Calibri" w:eastAsia="Calibri" w:hAnsi="Calibri" w:cs="Calibri"/>
          <w:b/>
        </w:rPr>
        <w:t>Description of the system</w:t>
      </w:r>
    </w:p>
    <w:p w14:paraId="42CF0062" w14:textId="77777777" w:rsidR="00076326" w:rsidRDefault="00076326">
      <w:pPr>
        <w:ind w:left="1440"/>
        <w:jc w:val="center"/>
      </w:pPr>
    </w:p>
    <w:p w14:paraId="42CF0063" w14:textId="0D9642DC" w:rsidR="00076326" w:rsidRDefault="00076326">
      <w:pPr>
        <w:ind w:left="1440"/>
        <w:jc w:val="center"/>
      </w:pPr>
    </w:p>
    <w:p w14:paraId="588F9C8E" w14:textId="6A3FCCED" w:rsidR="009775D8" w:rsidRDefault="009775D8">
      <w:pPr>
        <w:ind w:left="1440"/>
        <w:jc w:val="center"/>
      </w:pPr>
    </w:p>
    <w:p w14:paraId="2CA59690" w14:textId="21AC61D4" w:rsidR="009775D8" w:rsidRDefault="009775D8">
      <w:pPr>
        <w:ind w:left="1440"/>
        <w:jc w:val="center"/>
      </w:pPr>
    </w:p>
    <w:p w14:paraId="6D31CB85" w14:textId="1E20C0BA" w:rsidR="009775D8" w:rsidRDefault="009775D8">
      <w:pPr>
        <w:ind w:left="1440"/>
        <w:jc w:val="center"/>
      </w:pPr>
    </w:p>
    <w:p w14:paraId="698E7476" w14:textId="2C8D92DB" w:rsidR="009775D8" w:rsidRDefault="009775D8">
      <w:pPr>
        <w:ind w:left="1440"/>
        <w:jc w:val="center"/>
      </w:pPr>
    </w:p>
    <w:p w14:paraId="4E4795A1" w14:textId="7B8FCEE6" w:rsidR="009775D8" w:rsidRDefault="009775D8">
      <w:pPr>
        <w:ind w:left="1440"/>
        <w:jc w:val="center"/>
      </w:pPr>
      <w:r w:rsidRPr="009775D8">
        <w:rPr>
          <w:b/>
          <w:color w:val="FF0000"/>
        </w:rPr>
        <w:t>BELOW is an Example</w:t>
      </w:r>
      <w:bookmarkStart w:id="0" w:name="_GoBack"/>
      <w:bookmarkEnd w:id="0"/>
    </w:p>
    <w:tbl>
      <w:tblPr>
        <w:tblStyle w:val="a"/>
        <w:tblW w:w="8834" w:type="dxa"/>
        <w:jc w:val="right"/>
        <w:tblLayout w:type="fixed"/>
        <w:tblLook w:val="0600" w:firstRow="0" w:lastRow="0" w:firstColumn="0" w:lastColumn="0" w:noHBand="1" w:noVBand="1"/>
      </w:tblPr>
      <w:tblGrid>
        <w:gridCol w:w="5490"/>
        <w:gridCol w:w="3344"/>
      </w:tblGrid>
      <w:tr w:rsidR="00076326" w14:paraId="42CF0066" w14:textId="77777777" w:rsidTr="00E57F85">
        <w:trPr>
          <w:trHeight w:val="5760"/>
          <w:jc w:val="right"/>
        </w:trPr>
        <w:tc>
          <w:tcPr>
            <w:tcW w:w="5490" w:type="dxa"/>
            <w:tcMar>
              <w:top w:w="14" w:type="dxa"/>
              <w:left w:w="14" w:type="dxa"/>
              <w:bottom w:w="14" w:type="dxa"/>
              <w:right w:w="14" w:type="dxa"/>
            </w:tcMar>
            <w:vAlign w:val="center"/>
          </w:tcPr>
          <w:p w14:paraId="42CF0064" w14:textId="77777777" w:rsidR="00076326" w:rsidRDefault="00E57F85">
            <w:pPr>
              <w:widowControl w:val="0"/>
              <w:ind w:left="1440"/>
              <w:jc w:val="center"/>
            </w:pPr>
            <w:r>
              <w:rPr>
                <w:noProof/>
              </w:rPr>
              <w:lastRenderedPageBreak/>
              <w:drawing>
                <wp:inline distT="0" distB="0" distL="0" distR="0" wp14:anchorId="42CF0085" wp14:editId="42CF0086">
                  <wp:extent cx="2261870" cy="3225165"/>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1870" cy="3225165"/>
                          </a:xfrm>
                          <a:prstGeom prst="rect">
                            <a:avLst/>
                          </a:prstGeom>
                          <a:noFill/>
                        </pic:spPr>
                      </pic:pic>
                    </a:graphicData>
                  </a:graphic>
                </wp:inline>
              </w:drawing>
            </w:r>
          </w:p>
        </w:tc>
        <w:tc>
          <w:tcPr>
            <w:tcW w:w="3344" w:type="dxa"/>
            <w:tcMar>
              <w:top w:w="14" w:type="dxa"/>
              <w:left w:w="14" w:type="dxa"/>
              <w:bottom w:w="14" w:type="dxa"/>
              <w:right w:w="14" w:type="dxa"/>
            </w:tcMar>
            <w:vAlign w:val="center"/>
          </w:tcPr>
          <w:p w14:paraId="42CF0065" w14:textId="77777777" w:rsidR="00076326" w:rsidRDefault="008F540B">
            <w:pPr>
              <w:jc w:val="center"/>
            </w:pPr>
            <w:r>
              <w:rPr>
                <w:rFonts w:ascii="Calibri" w:eastAsia="Calibri" w:hAnsi="Calibri" w:cs="Calibri"/>
                <w:i/>
              </w:rPr>
              <w:t xml:space="preserve">Figure 2. </w:t>
            </w:r>
            <w:r>
              <w:rPr>
                <w:rFonts w:ascii="Calibri" w:eastAsia="Calibri" w:hAnsi="Calibri" w:cs="Calibri"/>
                <w:i/>
                <w:sz w:val="22"/>
                <w:szCs w:val="22"/>
              </w:rPr>
              <w:t>Prototype of the GODS (Geodesy Ocean Disaster Sensor), which will be inside the GSSM housing. For cabled deployments this will be combined with an actuator to turn the valve, and electronics to acquire data and interface to the cable.</w:t>
            </w:r>
          </w:p>
        </w:tc>
      </w:tr>
    </w:tbl>
    <w:p w14:paraId="42CF0067" w14:textId="77777777" w:rsidR="00076326" w:rsidRDefault="00076326" w:rsidP="00E57F85">
      <w:pPr>
        <w:ind w:left="1440"/>
      </w:pPr>
    </w:p>
    <w:p w14:paraId="42CF0068" w14:textId="77777777" w:rsidR="00076326" w:rsidRDefault="008F540B">
      <w:pPr>
        <w:ind w:left="1440"/>
      </w:pPr>
      <w:r>
        <w:rPr>
          <w:rFonts w:ascii="Calibri" w:eastAsia="Calibri" w:hAnsi="Calibri" w:cs="Calibri"/>
          <w:b/>
        </w:rPr>
        <w:t>Deployment</w:t>
      </w:r>
      <w:r>
        <w:rPr>
          <w:rFonts w:ascii="Calibri" w:eastAsia="Calibri" w:hAnsi="Calibri" w:cs="Calibri"/>
        </w:rPr>
        <w:t xml:space="preserve"> </w:t>
      </w:r>
    </w:p>
    <w:p w14:paraId="42CF0069" w14:textId="77777777" w:rsidR="00076326" w:rsidRDefault="008F540B">
      <w:pPr>
        <w:ind w:left="1440"/>
      </w:pPr>
      <w:r>
        <w:rPr>
          <w:rFonts w:ascii="Calibri" w:eastAsia="Calibri" w:hAnsi="Calibri" w:cs="Calibri"/>
        </w:rPr>
        <w:t xml:space="preserve">In coordination with MARS engineers, we will decide whether the GSSM, on its seafloor monument, can be carried aboard the ROV, or if it will be deployed via elevator. The system will be negatively buoyant and will sit on the seafloor. The in-air and in-water weight will be designed such that the module + monument can reasonably be manipulated by the ROV Ventana. </w:t>
      </w:r>
    </w:p>
    <w:p w14:paraId="42CF006A" w14:textId="77777777" w:rsidR="00076326" w:rsidRDefault="00076326">
      <w:pPr>
        <w:ind w:left="1440"/>
      </w:pPr>
    </w:p>
    <w:p w14:paraId="42CF006B" w14:textId="77777777" w:rsidR="00076326" w:rsidRDefault="008F540B">
      <w:pPr>
        <w:ind w:left="1440"/>
      </w:pPr>
      <w:r>
        <w:rPr>
          <w:rFonts w:ascii="Calibri" w:eastAsia="Calibri" w:hAnsi="Calibri" w:cs="Calibri"/>
          <w:b/>
        </w:rPr>
        <w:t>Operations</w:t>
      </w:r>
    </w:p>
    <w:p w14:paraId="42CF006C" w14:textId="77777777" w:rsidR="00076326" w:rsidRDefault="008F540B">
      <w:pPr>
        <w:ind w:left="1440"/>
        <w:rPr>
          <w:rFonts w:ascii="Calibri" w:eastAsia="Calibri" w:hAnsi="Calibri" w:cs="Calibri"/>
        </w:rPr>
      </w:pPr>
      <w:r>
        <w:rPr>
          <w:rFonts w:ascii="Calibri" w:eastAsia="Calibri" w:hAnsi="Calibri" w:cs="Calibri"/>
        </w:rPr>
        <w:t>The GSSM will be deployed and cabled to the MARS node for a minimum of 6 months. All sensor data will be collected in real time, and A-0-A “calibration” events will be commanded manually from shore approximately twice per month. Each calibration event will actuate the internal valve such that the two bottom pressure sensors will be exposed to the internal housing pressure (~1 atm). Using the internal barometer as a reference, the offset of the dual pressure sensors will be computed and applied to the bottom pressure record for long-term drift correction. The valve will then be commanded to actuate such that the dual pressure sensors are again exposed to ambient seawater pressure. There will be no external motion of the GSSM during the calibration event.</w:t>
      </w:r>
    </w:p>
    <w:p w14:paraId="42CF006D" w14:textId="77777777" w:rsidR="00E57F85" w:rsidRDefault="00E57F85">
      <w:pPr>
        <w:ind w:left="1440"/>
        <w:rPr>
          <w:rFonts w:ascii="Calibri" w:eastAsia="Calibri" w:hAnsi="Calibri" w:cs="Calibri"/>
        </w:rPr>
      </w:pPr>
    </w:p>
    <w:p w14:paraId="42CF006E" w14:textId="77777777" w:rsidR="00E57F85" w:rsidRDefault="00E57F85">
      <w:pPr>
        <w:ind w:left="1440"/>
      </w:pPr>
    </w:p>
    <w:p w14:paraId="42CF006F" w14:textId="77777777" w:rsidR="00076326" w:rsidRDefault="00076326">
      <w:pPr>
        <w:ind w:left="1440"/>
      </w:pPr>
    </w:p>
    <w:p w14:paraId="42CF0070" w14:textId="77777777" w:rsidR="00076326" w:rsidRDefault="008F540B">
      <w:pPr>
        <w:ind w:left="1440"/>
      </w:pPr>
      <w:r>
        <w:rPr>
          <w:rFonts w:ascii="Calibri" w:eastAsia="Calibri" w:hAnsi="Calibri" w:cs="Calibri"/>
          <w:b/>
        </w:rPr>
        <w:lastRenderedPageBreak/>
        <w:t>Recovery</w:t>
      </w:r>
    </w:p>
    <w:p w14:paraId="42CF0071" w14:textId="77777777" w:rsidR="00076326" w:rsidRDefault="008F540B">
      <w:pPr>
        <w:ind w:left="1440"/>
      </w:pPr>
      <w:r>
        <w:rPr>
          <w:rFonts w:ascii="Calibri" w:eastAsia="Calibri" w:hAnsi="Calibri" w:cs="Calibri"/>
        </w:rPr>
        <w:t xml:space="preserve">The monument/GSSM/SIIM/cable assembly will have features suitable for ROV handling and connection points for recovery via ship’s wire. </w:t>
      </w:r>
    </w:p>
    <w:p w14:paraId="42CF0072" w14:textId="77777777" w:rsidR="00076326" w:rsidRDefault="008F540B">
      <w:pPr>
        <w:numPr>
          <w:ilvl w:val="1"/>
          <w:numId w:val="3"/>
        </w:numPr>
        <w:spacing w:before="280"/>
        <w:ind w:hanging="360"/>
      </w:pPr>
      <w:r>
        <w:rPr>
          <w:b/>
        </w:rPr>
        <w:t>Collections:</w:t>
      </w:r>
      <w:r>
        <w:t xml:space="preserve"> </w:t>
      </w:r>
      <w:r>
        <w:rPr>
          <w:rFonts w:ascii="Calibri" w:eastAsia="Calibri" w:hAnsi="Calibri" w:cs="Calibri"/>
        </w:rPr>
        <w:t>Not Applicable</w:t>
      </w:r>
    </w:p>
    <w:p w14:paraId="42CF0073" w14:textId="77777777" w:rsidR="00076326" w:rsidRDefault="00076326">
      <w:pPr>
        <w:spacing w:before="280"/>
        <w:ind w:left="720"/>
      </w:pPr>
    </w:p>
    <w:p w14:paraId="42CF0074" w14:textId="77777777" w:rsidR="00076326" w:rsidRDefault="008F540B">
      <w:pPr>
        <w:numPr>
          <w:ilvl w:val="1"/>
          <w:numId w:val="3"/>
        </w:numPr>
        <w:spacing w:after="280"/>
        <w:ind w:hanging="360"/>
      </w:pPr>
      <w:r>
        <w:rPr>
          <w:b/>
        </w:rPr>
        <w:t>Schedule</w:t>
      </w:r>
      <w:r>
        <w:t>:</w:t>
      </w:r>
    </w:p>
    <w:p w14:paraId="42CF0075" w14:textId="77777777" w:rsidR="00076326" w:rsidRDefault="008F540B">
      <w:pPr>
        <w:spacing w:after="280"/>
        <w:ind w:left="1440"/>
      </w:pPr>
      <w:r>
        <w:rPr>
          <w:rFonts w:ascii="Calibri" w:eastAsia="Calibri" w:hAnsi="Calibri" w:cs="Calibri"/>
        </w:rPr>
        <w:t xml:space="preserve">10/2016 - 5/2017 </w:t>
      </w:r>
      <w:r>
        <w:rPr>
          <w:rFonts w:ascii="Calibri" w:eastAsia="Calibri" w:hAnsi="Calibri" w:cs="Calibri"/>
        </w:rPr>
        <w:tab/>
        <w:t>Design, assembly, and system test at the University of Washington</w:t>
      </w:r>
    </w:p>
    <w:p w14:paraId="42CF0076" w14:textId="77777777" w:rsidR="00076326" w:rsidRDefault="008F540B">
      <w:pPr>
        <w:spacing w:after="280"/>
        <w:ind w:left="1440"/>
      </w:pPr>
      <w:r>
        <w:rPr>
          <w:rFonts w:ascii="Calibri" w:eastAsia="Calibri" w:hAnsi="Calibri" w:cs="Calibri"/>
        </w:rPr>
        <w:t xml:space="preserve">5/2017 - 6/2017  </w:t>
      </w:r>
      <w:r>
        <w:rPr>
          <w:rFonts w:ascii="Calibri" w:eastAsia="Calibri" w:hAnsi="Calibri" w:cs="Calibri"/>
        </w:rPr>
        <w:tab/>
        <w:t>Installation on MARS</w:t>
      </w:r>
    </w:p>
    <w:p w14:paraId="42CF0077" w14:textId="77777777" w:rsidR="00076326" w:rsidRDefault="008F540B">
      <w:pPr>
        <w:spacing w:after="280"/>
        <w:ind w:left="1440"/>
      </w:pPr>
      <w:r>
        <w:rPr>
          <w:rFonts w:ascii="Calibri" w:eastAsia="Calibri" w:hAnsi="Calibri" w:cs="Calibri"/>
        </w:rPr>
        <w:t>6/2017 - 6/2018</w:t>
      </w:r>
      <w:r>
        <w:rPr>
          <w:rFonts w:ascii="Calibri" w:eastAsia="Calibri" w:hAnsi="Calibri" w:cs="Calibri"/>
        </w:rPr>
        <w:tab/>
        <w:t>Test and monitor GSSM</w:t>
      </w:r>
    </w:p>
    <w:p w14:paraId="42CF0078" w14:textId="77777777" w:rsidR="00076326" w:rsidRDefault="008F540B">
      <w:pPr>
        <w:spacing w:after="280"/>
        <w:ind w:left="1440"/>
      </w:pPr>
      <w:r>
        <w:rPr>
          <w:rFonts w:ascii="Calibri" w:eastAsia="Calibri" w:hAnsi="Calibri" w:cs="Calibri"/>
        </w:rPr>
        <w:t>6/2018 and beyond: To be determined - the GSSM will be built for extended multi-year deployments. If the system is working well and there are scientific drivers for leaving the instrument in place on the MARS node, that can be discussed.</w:t>
      </w:r>
    </w:p>
    <w:p w14:paraId="42CF0079" w14:textId="77777777" w:rsidR="00076326" w:rsidRDefault="00076326">
      <w:pPr>
        <w:spacing w:after="280"/>
        <w:ind w:left="1440"/>
      </w:pPr>
    </w:p>
    <w:p w14:paraId="42CF007A" w14:textId="77777777" w:rsidR="00076326" w:rsidRDefault="008F540B">
      <w:pPr>
        <w:spacing w:after="280"/>
      </w:pPr>
      <w:r>
        <w:rPr>
          <w:b/>
        </w:rPr>
        <w:t>Funding:</w:t>
      </w:r>
      <w:r>
        <w:t xml:space="preserve"> </w:t>
      </w:r>
    </w:p>
    <w:p w14:paraId="42CF007B" w14:textId="77777777" w:rsidR="00076326" w:rsidRDefault="008F540B">
      <w:pPr>
        <w:spacing w:after="280"/>
        <w:ind w:left="1440"/>
      </w:pPr>
      <w:r>
        <w:rPr>
          <w:rFonts w:ascii="Calibri" w:eastAsia="Calibri" w:hAnsi="Calibri" w:cs="Calibri"/>
        </w:rPr>
        <w:t>This project is funded internally by the University of Washington. There is no contractual period of performance, but the project is expected to run 10/2016 through 6/2018.</w:t>
      </w:r>
    </w:p>
    <w:p w14:paraId="42CF007C" w14:textId="77777777" w:rsidR="00076326" w:rsidRDefault="008F540B">
      <w:pPr>
        <w:spacing w:after="280"/>
      </w:pPr>
      <w:r>
        <w:rPr>
          <w:b/>
        </w:rPr>
        <w:t>Environmental Impacts:</w:t>
      </w:r>
      <w:r>
        <w:t xml:space="preserve"> </w:t>
      </w:r>
    </w:p>
    <w:p w14:paraId="42CF007D" w14:textId="77777777" w:rsidR="00076326" w:rsidRDefault="008F540B">
      <w:pPr>
        <w:spacing w:after="280"/>
        <w:ind w:left="1440"/>
        <w:rPr>
          <w:rFonts w:ascii="Calibri" w:eastAsia="Calibri" w:hAnsi="Calibri" w:cs="Calibri"/>
        </w:rPr>
      </w:pPr>
      <w:r>
        <w:rPr>
          <w:rFonts w:ascii="Calibri" w:eastAsia="Calibri" w:hAnsi="Calibri" w:cs="Calibri"/>
        </w:rPr>
        <w:t>The GSSM monument will sit directly on the seafloor and may impact organisms in the sediment directly below (~1 m² area). The system is low power, and does not actively output chemicals, optical transmissions or acoustic signals.</w:t>
      </w:r>
    </w:p>
    <w:p w14:paraId="42CF007E" w14:textId="77777777" w:rsidR="00E57F85" w:rsidRDefault="00E57F85">
      <w:pPr>
        <w:spacing w:after="280"/>
        <w:ind w:left="1440"/>
        <w:rPr>
          <w:rFonts w:ascii="Calibri" w:eastAsia="Calibri" w:hAnsi="Calibri" w:cs="Calibri"/>
        </w:rPr>
      </w:pPr>
    </w:p>
    <w:p w14:paraId="42CF007F" w14:textId="77777777" w:rsidR="00E57F85" w:rsidRDefault="00E57F85">
      <w:pPr>
        <w:spacing w:after="280"/>
        <w:ind w:left="1440"/>
        <w:rPr>
          <w:rFonts w:ascii="Calibri" w:eastAsia="Calibri" w:hAnsi="Calibri" w:cs="Calibri"/>
        </w:rPr>
      </w:pPr>
    </w:p>
    <w:p w14:paraId="42CF0080" w14:textId="77777777" w:rsidR="00E57F85" w:rsidRDefault="00E57F85">
      <w:pPr>
        <w:spacing w:after="280"/>
        <w:ind w:left="1440"/>
        <w:rPr>
          <w:rFonts w:ascii="Calibri" w:eastAsia="Calibri" w:hAnsi="Calibri" w:cs="Calibri"/>
        </w:rPr>
      </w:pPr>
    </w:p>
    <w:p w14:paraId="42CF0081" w14:textId="77777777" w:rsidR="00E57F85" w:rsidRDefault="00E57F85">
      <w:pPr>
        <w:spacing w:after="280"/>
        <w:ind w:left="1440"/>
      </w:pPr>
    </w:p>
    <w:p w14:paraId="42CF0082" w14:textId="77777777" w:rsidR="00076326" w:rsidRDefault="008F540B">
      <w:pPr>
        <w:spacing w:after="100"/>
      </w:pPr>
      <w:r>
        <w:rPr>
          <w:b/>
        </w:rPr>
        <w:lastRenderedPageBreak/>
        <w:t xml:space="preserve">Photographs or schematic representations of equipment to be deployed: </w:t>
      </w:r>
    </w:p>
    <w:p w14:paraId="42CF0083" w14:textId="77777777" w:rsidR="00076326" w:rsidRDefault="00076326">
      <w:pPr>
        <w:spacing w:after="100"/>
      </w:pPr>
    </w:p>
    <w:p w14:paraId="42CF0084" w14:textId="77777777" w:rsidR="00076326" w:rsidRDefault="008F540B">
      <w:pPr>
        <w:spacing w:after="100"/>
        <w:jc w:val="right"/>
      </w:pPr>
      <w:r>
        <w:rPr>
          <w:noProof/>
        </w:rPr>
        <w:drawing>
          <wp:inline distT="114300" distB="114300" distL="114300" distR="114300" wp14:anchorId="42CF0087" wp14:editId="42CF0088">
            <wp:extent cx="5837946" cy="2357438"/>
            <wp:effectExtent l="0" t="0" r="0" b="0"/>
            <wp:docPr id="2" name="image03.png"/>
            <wp:cNvGraphicFramePr/>
            <a:graphic xmlns:a="http://schemas.openxmlformats.org/drawingml/2006/main">
              <a:graphicData uri="http://schemas.openxmlformats.org/drawingml/2006/picture">
                <pic:pic xmlns:pic="http://schemas.openxmlformats.org/drawingml/2006/picture">
                  <pic:nvPicPr>
                    <pic:cNvPr id="0" name="image03.png"/>
                    <pic:cNvPicPr preferRelativeResize="0"/>
                  </pic:nvPicPr>
                  <pic:blipFill>
                    <a:blip r:embed="rId8"/>
                    <a:srcRect/>
                    <a:stretch>
                      <a:fillRect/>
                    </a:stretch>
                  </pic:blipFill>
                  <pic:spPr>
                    <a:xfrm>
                      <a:off x="0" y="0"/>
                      <a:ext cx="5837946" cy="2357438"/>
                    </a:xfrm>
                    <a:prstGeom prst="rect">
                      <a:avLst/>
                    </a:prstGeom>
                    <a:ln/>
                  </pic:spPr>
                </pic:pic>
              </a:graphicData>
            </a:graphic>
          </wp:inline>
        </w:drawing>
      </w:r>
    </w:p>
    <w:sectPr w:rsidR="00076326">
      <w:headerReference w:type="default" r:id="rId9"/>
      <w:footerReference w:type="default" r:id="rId10"/>
      <w:pgSz w:w="12240" w:h="15840"/>
      <w:pgMar w:top="864" w:right="1800" w:bottom="864"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CF008B" w14:textId="77777777" w:rsidR="005A0879" w:rsidRDefault="005A0879">
      <w:r>
        <w:separator/>
      </w:r>
    </w:p>
  </w:endnote>
  <w:endnote w:type="continuationSeparator" w:id="0">
    <w:p w14:paraId="42CF008C" w14:textId="77777777" w:rsidR="005A0879" w:rsidRDefault="005A0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F008F" w14:textId="7F8EE6CC" w:rsidR="00076326" w:rsidRDefault="008F540B">
    <w:pPr>
      <w:jc w:val="center"/>
    </w:pPr>
    <w:r>
      <w:fldChar w:fldCharType="begin"/>
    </w:r>
    <w:r>
      <w:instrText>PAGE</w:instrText>
    </w:r>
    <w:r>
      <w:fldChar w:fldCharType="separate"/>
    </w:r>
    <w:r w:rsidR="009775D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CF0089" w14:textId="77777777" w:rsidR="005A0879" w:rsidRDefault="005A0879">
      <w:r>
        <w:separator/>
      </w:r>
    </w:p>
  </w:footnote>
  <w:footnote w:type="continuationSeparator" w:id="0">
    <w:p w14:paraId="42CF008A" w14:textId="77777777" w:rsidR="005A0879" w:rsidRDefault="005A08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F008D" w14:textId="77777777" w:rsidR="00076326" w:rsidRDefault="008F540B">
    <w:pPr>
      <w:tabs>
        <w:tab w:val="center" w:pos="4680"/>
        <w:tab w:val="right" w:pos="9360"/>
      </w:tabs>
      <w:spacing w:before="720"/>
      <w:jc w:val="center"/>
    </w:pPr>
    <w:r>
      <w:rPr>
        <w:b/>
        <w:sz w:val="28"/>
        <w:szCs w:val="28"/>
      </w:rPr>
      <w:t>MARS Projects: Permit Application Information</w:t>
    </w:r>
  </w:p>
  <w:p w14:paraId="42CF008E" w14:textId="77777777" w:rsidR="00076326" w:rsidRDefault="00076326">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9501EC"/>
    <w:multiLevelType w:val="multilevel"/>
    <w:tmpl w:val="C28C2268"/>
    <w:lvl w:ilvl="0">
      <w:start w:val="1"/>
      <w:numFmt w:val="decimal"/>
      <w:lvlText w:val="%1."/>
      <w:lvlJc w:val="left"/>
      <w:pPr>
        <w:ind w:left="720" w:firstLine="360"/>
      </w:pPr>
      <w:rPr>
        <w:vertAlign w:val="baseline"/>
      </w:rPr>
    </w:lvl>
    <w:lvl w:ilvl="1">
      <w:start w:val="1"/>
      <w:numFmt w:val="bullet"/>
      <w:lvlText w:val="●"/>
      <w:lvlJc w:val="left"/>
      <w:pPr>
        <w:ind w:left="1440" w:firstLine="1080"/>
      </w:pPr>
      <w:rPr>
        <w:rFonts w:ascii="Arial" w:eastAsia="Arial" w:hAnsi="Arial" w:cs="Arial"/>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1" w15:restartNumberingAfterBreak="0">
    <w:nsid w:val="607C3AC6"/>
    <w:multiLevelType w:val="multilevel"/>
    <w:tmpl w:val="EE7234D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15:restartNumberingAfterBreak="0">
    <w:nsid w:val="60AC6EF8"/>
    <w:multiLevelType w:val="multilevel"/>
    <w:tmpl w:val="F80EEEC0"/>
    <w:lvl w:ilvl="0">
      <w:start w:val="1"/>
      <w:numFmt w:val="decimal"/>
      <w:lvlText w:val="%1."/>
      <w:lvlJc w:val="left"/>
      <w:pPr>
        <w:ind w:left="720" w:firstLine="360"/>
      </w:pPr>
      <w:rPr>
        <w:vertAlign w:val="baseline"/>
      </w:rPr>
    </w:lvl>
    <w:lvl w:ilvl="1">
      <w:start w:val="1"/>
      <w:numFmt w:val="bullet"/>
      <w:lvlText w:val="●"/>
      <w:lvlJc w:val="left"/>
      <w:pPr>
        <w:ind w:left="1440" w:firstLine="1080"/>
      </w:pPr>
      <w:rPr>
        <w:rFonts w:ascii="Arial" w:eastAsia="Arial" w:hAnsi="Arial" w:cs="Arial"/>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076326"/>
    <w:rsid w:val="00076326"/>
    <w:rsid w:val="005A0879"/>
    <w:rsid w:val="006A64CD"/>
    <w:rsid w:val="008F540B"/>
    <w:rsid w:val="009775D8"/>
    <w:rsid w:val="00E57F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CF004D"/>
  <w15:docId w15:val="{FC796639-C346-4CF6-B9F6-D87F90C4D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after="40"/>
      <w:jc w:val="both"/>
      <w:outlineLvl w:val="0"/>
    </w:pPr>
    <w:rPr>
      <w:rFonts w:ascii="Arial" w:eastAsia="Arial" w:hAnsi="Arial" w:cs="Arial"/>
      <w:b/>
      <w:sz w:val="20"/>
      <w:szCs w:val="20"/>
    </w:rPr>
  </w:style>
  <w:style w:type="paragraph" w:styleId="Heading2">
    <w:name w:val="heading 2"/>
    <w:basedOn w:val="Normal"/>
    <w:next w:val="Normal"/>
    <w:pPr>
      <w:keepNext/>
      <w:keepLines/>
      <w:spacing w:after="60"/>
      <w:jc w:val="both"/>
      <w:outlineLvl w:val="1"/>
    </w:pPr>
    <w:rPr>
      <w:rFonts w:ascii="Arial" w:eastAsia="Arial" w:hAnsi="Arial" w:cs="Arial"/>
      <w:b/>
      <w:i/>
      <w:sz w:val="20"/>
      <w:szCs w:val="20"/>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E57F85"/>
    <w:pPr>
      <w:ind w:left="720"/>
      <w:contextualSpacing/>
    </w:pPr>
  </w:style>
  <w:style w:type="paragraph" w:styleId="BalloonText">
    <w:name w:val="Balloon Text"/>
    <w:basedOn w:val="Normal"/>
    <w:link w:val="BalloonTextChar"/>
    <w:uiPriority w:val="99"/>
    <w:semiHidden/>
    <w:unhideWhenUsed/>
    <w:rsid w:val="006A64CD"/>
    <w:rPr>
      <w:rFonts w:ascii="Tahoma" w:hAnsi="Tahoma" w:cs="Tahoma"/>
      <w:sz w:val="16"/>
      <w:szCs w:val="16"/>
    </w:rPr>
  </w:style>
  <w:style w:type="character" w:customStyle="1" w:styleId="BalloonTextChar">
    <w:name w:val="Balloon Text Char"/>
    <w:basedOn w:val="DefaultParagraphFont"/>
    <w:link w:val="BalloonText"/>
    <w:uiPriority w:val="99"/>
    <w:semiHidden/>
    <w:rsid w:val="006A64CD"/>
    <w:rPr>
      <w:rFonts w:ascii="Tahoma" w:hAnsi="Tahoma" w:cs="Tahoma"/>
      <w:sz w:val="16"/>
      <w:szCs w:val="16"/>
    </w:rPr>
  </w:style>
  <w:style w:type="paragraph" w:styleId="Header">
    <w:name w:val="header"/>
    <w:basedOn w:val="Normal"/>
    <w:link w:val="HeaderChar"/>
    <w:uiPriority w:val="99"/>
    <w:unhideWhenUsed/>
    <w:rsid w:val="009775D8"/>
    <w:pPr>
      <w:tabs>
        <w:tab w:val="center" w:pos="4680"/>
        <w:tab w:val="right" w:pos="9360"/>
      </w:tabs>
    </w:pPr>
  </w:style>
  <w:style w:type="character" w:customStyle="1" w:styleId="HeaderChar">
    <w:name w:val="Header Char"/>
    <w:basedOn w:val="DefaultParagraphFont"/>
    <w:link w:val="Header"/>
    <w:uiPriority w:val="99"/>
    <w:rsid w:val="009775D8"/>
  </w:style>
  <w:style w:type="paragraph" w:styleId="Footer">
    <w:name w:val="footer"/>
    <w:basedOn w:val="Normal"/>
    <w:link w:val="FooterChar"/>
    <w:uiPriority w:val="99"/>
    <w:unhideWhenUsed/>
    <w:rsid w:val="009775D8"/>
    <w:pPr>
      <w:tabs>
        <w:tab w:val="center" w:pos="4680"/>
        <w:tab w:val="right" w:pos="9360"/>
      </w:tabs>
    </w:pPr>
  </w:style>
  <w:style w:type="character" w:customStyle="1" w:styleId="FooterChar">
    <w:name w:val="Footer Char"/>
    <w:basedOn w:val="DefaultParagraphFont"/>
    <w:link w:val="Footer"/>
    <w:uiPriority w:val="99"/>
    <w:rsid w:val="009775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416</Words>
  <Characters>2376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Craig Dawe</dc:creator>
  <cp:lastModifiedBy>Craig Dawe</cp:lastModifiedBy>
  <cp:revision>3</cp:revision>
  <dcterms:created xsi:type="dcterms:W3CDTF">2017-07-20T19:41:00Z</dcterms:created>
  <dcterms:modified xsi:type="dcterms:W3CDTF">2020-01-06T15:23:00Z</dcterms:modified>
</cp:coreProperties>
</file>